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54D" w:rsidRDefault="00263AF6" w:rsidP="00263AF6">
      <w:pPr>
        <w:jc w:val="center"/>
      </w:pPr>
      <w:r w:rsidRPr="00263AF6">
        <w:rPr>
          <w:sz w:val="32"/>
          <w:szCs w:val="32"/>
        </w:rPr>
        <w:t>Inwentaryzacja</w:t>
      </w:r>
    </w:p>
    <w:p w:rsidR="00263AF6" w:rsidRDefault="00263AF6" w:rsidP="00263AF6">
      <w:pPr>
        <w:jc w:val="both"/>
      </w:pPr>
      <w:r>
        <w:t xml:space="preserve">Jednym z obowiązków związanych z zamknięciem roku obrotowego w jednostce prowadzącej księgi rachunkowe jest konieczność przeprowadzenia inwentaryzacji aktywów i pasywów. </w:t>
      </w:r>
    </w:p>
    <w:p w:rsidR="00263AF6" w:rsidRDefault="00263AF6" w:rsidP="00263AF6">
      <w:pPr>
        <w:jc w:val="both"/>
      </w:pPr>
      <w:r w:rsidRPr="00B53C78">
        <w:rPr>
          <w:b/>
        </w:rPr>
        <w:t>Inwentaryzacja</w:t>
      </w:r>
      <w:r>
        <w:t xml:space="preserve"> – ogół czynności zmierzających do uzgodnienia – na określny dzień – faktycznego stanu składników majątkowych i źródeł ich pochodzenia, ze stanami figurującymi w księgach rachunkowych. Polega na ustaleniu faktycznego stanu wszystkich składników majątku (aktywów i pasywów), porównaniu tych stanów z danymi ujętymi w księgach rachunkowych  oraz wyjaśnieniu ewentualnych różnic pomiędzy stanem stwierdzonym podczas inwentaryzacji (rzeczywistym) a stanem wynikającym z ewidencji księgowej (tzw. różnic inwentaryzacyjnych).</w:t>
      </w:r>
    </w:p>
    <w:p w:rsidR="003174A5" w:rsidRPr="00722DE0" w:rsidRDefault="003174A5" w:rsidP="00263AF6">
      <w:pPr>
        <w:jc w:val="both"/>
        <w:rPr>
          <w:u w:val="single"/>
        </w:rPr>
      </w:pPr>
      <w:r w:rsidRPr="00722DE0">
        <w:rPr>
          <w:u w:val="single"/>
        </w:rPr>
        <w:t>Inwentaryzacja środków pieniężnych</w:t>
      </w:r>
    </w:p>
    <w:p w:rsidR="003174A5" w:rsidRDefault="003174A5" w:rsidP="00263AF6">
      <w:pPr>
        <w:jc w:val="both"/>
      </w:pPr>
      <w:r>
        <w:t>Powodem ujawniania różnic inwentaryzacyjnych w odniesieniu do środków pieniężnych w kasie są najczęściej:</w:t>
      </w:r>
    </w:p>
    <w:p w:rsidR="003174A5" w:rsidRDefault="003174A5" w:rsidP="003174A5">
      <w:pPr>
        <w:pStyle w:val="Akapitzlist"/>
        <w:numPr>
          <w:ilvl w:val="0"/>
          <w:numId w:val="1"/>
        </w:numPr>
        <w:jc w:val="both"/>
      </w:pPr>
      <w:r>
        <w:t>błędy i nadużycia popełnione przez pracowników odpowiedzialnych za te składniki majątku (pomyłki liczbowe w dokumentacji i zapisach, pomyłki w przyjmowaniu i wydawaniu pieniędzy, kradzieże),</w:t>
      </w:r>
    </w:p>
    <w:p w:rsidR="003174A5" w:rsidRDefault="003174A5" w:rsidP="003174A5">
      <w:pPr>
        <w:pStyle w:val="Akapitzlist"/>
        <w:numPr>
          <w:ilvl w:val="0"/>
          <w:numId w:val="1"/>
        </w:numPr>
        <w:jc w:val="both"/>
      </w:pPr>
      <w:r>
        <w:t>ujawnienie banknotów z serii wycofanej z obiegu, fałszywych i zniszczonych, co wiąże się z koniecznością ich wycofania z obiegu.</w:t>
      </w:r>
    </w:p>
    <w:p w:rsidR="003174A5" w:rsidRDefault="003174A5" w:rsidP="003174A5">
      <w:pPr>
        <w:jc w:val="both"/>
      </w:pPr>
      <w:r>
        <w:t>Inwentaryzację środków pieniężnych jednostki są zobowiązane przeprowadzić na ostatni dzień każdego roku obrotowego. Środki te inwentaryzuje się drogą:</w:t>
      </w:r>
    </w:p>
    <w:p w:rsidR="003174A5" w:rsidRDefault="003174A5" w:rsidP="003174A5">
      <w:pPr>
        <w:pStyle w:val="Akapitzlist"/>
        <w:numPr>
          <w:ilvl w:val="0"/>
          <w:numId w:val="2"/>
        </w:numPr>
        <w:jc w:val="both"/>
      </w:pPr>
      <w:r>
        <w:t>spisu z natury – dotyczy środków pieniężnych przechowywanych w kasie jednostki,</w:t>
      </w:r>
    </w:p>
    <w:p w:rsidR="003174A5" w:rsidRDefault="003174A5" w:rsidP="003174A5">
      <w:pPr>
        <w:pStyle w:val="Akapitzlist"/>
        <w:numPr>
          <w:ilvl w:val="0"/>
          <w:numId w:val="2"/>
        </w:numPr>
        <w:jc w:val="both"/>
      </w:pPr>
      <w:r>
        <w:t>otrzymania od banków potwierdzeń stanu środków zgromadzonych na rachunkach bankowych,</w:t>
      </w:r>
    </w:p>
    <w:p w:rsidR="003174A5" w:rsidRDefault="003174A5" w:rsidP="003174A5">
      <w:pPr>
        <w:pStyle w:val="Akapitzlist"/>
        <w:numPr>
          <w:ilvl w:val="0"/>
          <w:numId w:val="2"/>
        </w:numPr>
        <w:jc w:val="both"/>
      </w:pPr>
      <w:r>
        <w:t>porównania danych ujętych w księgach rachunkowych z odpowiednimi dokumentami</w:t>
      </w:r>
      <w:r w:rsidR="00907BCE">
        <w:t xml:space="preserve"> – jeżeli nie jest możliwa inwentaryzacja drogą spisu z natury czy potwierdzenia sald (np. środki pieniężne w drodze).</w:t>
      </w:r>
      <w:r>
        <w:t xml:space="preserve"> </w:t>
      </w:r>
    </w:p>
    <w:p w:rsidR="007A72EC" w:rsidRDefault="005608E1" w:rsidP="005608E1">
      <w:pPr>
        <w:jc w:val="both"/>
      </w:pPr>
      <w:r>
        <w:t>Z inwentaryzacji gotówki w kasie sporządza się protokół, który jest podstawą do porównania stanu faktycznego z ewidencyjnym. W razie stwierdzenia różnic sporządza się protokół różnic i dokonuje księgowania na koncie KASA, celem doprowadzenia stanu ewidencyjnego do stanu faktycznego. Różnice inwentaryzacyjne</w:t>
      </w:r>
      <w:r w:rsidR="007A72EC">
        <w:t xml:space="preserve"> do czasu wyjaśnienia przyczyn ich powstania i podjęcia przez kierownika jednostki decyzji o sposobie ich rozliczenia, ujmuje się:</w:t>
      </w:r>
    </w:p>
    <w:p w:rsidR="005608E1" w:rsidRDefault="007A72EC" w:rsidP="007A72EC">
      <w:pPr>
        <w:pStyle w:val="Akapitzlist"/>
        <w:numPr>
          <w:ilvl w:val="0"/>
          <w:numId w:val="3"/>
        </w:numPr>
        <w:jc w:val="both"/>
      </w:pPr>
      <w:r>
        <w:t>w przypadku stwierdzenia niedoborów – na koncie ROZLICZENIE NIEDOBORÓW,</w:t>
      </w:r>
    </w:p>
    <w:p w:rsidR="007A72EC" w:rsidRDefault="007A72EC" w:rsidP="007A72EC">
      <w:pPr>
        <w:pStyle w:val="Akapitzlist"/>
        <w:numPr>
          <w:ilvl w:val="0"/>
          <w:numId w:val="3"/>
        </w:numPr>
        <w:jc w:val="both"/>
      </w:pPr>
      <w:r>
        <w:t>w przypadku stwierdzenia nadwyżki – na koncie ROZLICZENIE NADWYŻEK.</w:t>
      </w:r>
    </w:p>
    <w:p w:rsidR="007A72EC" w:rsidRDefault="007A72EC" w:rsidP="007A72EC">
      <w:pPr>
        <w:jc w:val="both"/>
      </w:pPr>
      <w:r>
        <w:t>Sposobu rozliczenia niedoborów i nadwyżek:</w:t>
      </w:r>
    </w:p>
    <w:p w:rsidR="007A72EC" w:rsidRDefault="007A72EC" w:rsidP="007A72EC">
      <w:pPr>
        <w:pStyle w:val="Akapitzlist"/>
        <w:numPr>
          <w:ilvl w:val="0"/>
          <w:numId w:val="4"/>
        </w:numPr>
        <w:jc w:val="both"/>
      </w:pPr>
      <w:r>
        <w:t>niedobory zawinione – obciążają osobę materialnie odpowiedzialną,</w:t>
      </w:r>
    </w:p>
    <w:p w:rsidR="007A72EC" w:rsidRDefault="007A72EC" w:rsidP="007A72EC">
      <w:pPr>
        <w:pStyle w:val="Akapitzlist"/>
        <w:numPr>
          <w:ilvl w:val="0"/>
          <w:numId w:val="4"/>
        </w:numPr>
        <w:jc w:val="both"/>
      </w:pPr>
      <w:r>
        <w:t>niedobory niezawinione – obciążają pozostałe koszty operacyjne,</w:t>
      </w:r>
    </w:p>
    <w:p w:rsidR="007A72EC" w:rsidRDefault="007A72EC" w:rsidP="007A72EC">
      <w:pPr>
        <w:pStyle w:val="Akapitzlist"/>
        <w:numPr>
          <w:ilvl w:val="0"/>
          <w:numId w:val="4"/>
        </w:numPr>
        <w:jc w:val="both"/>
      </w:pPr>
      <w:r>
        <w:t xml:space="preserve">nadwyżki o nieustalonym źródle pochodzenia – odnoszone są na pozostałe przychody operacyjne.  </w:t>
      </w:r>
    </w:p>
    <w:p w:rsidR="007D6FB0" w:rsidRPr="001E6462" w:rsidRDefault="007D6FB0" w:rsidP="007D6FB0">
      <w:pPr>
        <w:jc w:val="both"/>
        <w:rPr>
          <w:u w:val="single"/>
        </w:rPr>
      </w:pPr>
      <w:r w:rsidRPr="001E6462">
        <w:rPr>
          <w:u w:val="single"/>
        </w:rPr>
        <w:t>Inwentaryzacja rozrachunków</w:t>
      </w:r>
    </w:p>
    <w:p w:rsidR="007D6FB0" w:rsidRDefault="007D6FB0" w:rsidP="007D6FB0">
      <w:pPr>
        <w:jc w:val="both"/>
      </w:pPr>
      <w:r>
        <w:t xml:space="preserve">Inwentaryzację rozrachunków przeprowadza się na ostatni dzień każdego roku obrotowego. Należności i zobowiązania inwentaryzuje się drogą uzyskania od kontrahentów potwierdzeń </w:t>
      </w:r>
      <w:r>
        <w:lastRenderedPageBreak/>
        <w:t xml:space="preserve">(potwierdzenie salda) prawidłowości wykazanego w księgach rachunkowych jednostki stanu tych aktywów i pasywów oraz wyjaśnienia  i rozliczenia ewentualnych różnic.  </w:t>
      </w:r>
    </w:p>
    <w:p w:rsidR="00A0793E" w:rsidRDefault="00A0793E" w:rsidP="007D6FB0">
      <w:pPr>
        <w:jc w:val="both"/>
      </w:pPr>
      <w:r>
        <w:t>Należności, które z uzasadnionych przyczyn nie mogą być zinwentaryzowane drogą potwierdzenia sald, inwentaryzuje się poprzez porównanie ich stanu z odpowiednimi dokumentami źródłowymi. Dotyczy to:</w:t>
      </w:r>
    </w:p>
    <w:p w:rsidR="00A0793E" w:rsidRDefault="00A0793E" w:rsidP="00A0793E">
      <w:pPr>
        <w:pStyle w:val="Akapitzlist"/>
        <w:numPr>
          <w:ilvl w:val="0"/>
          <w:numId w:val="5"/>
        </w:numPr>
        <w:jc w:val="both"/>
      </w:pPr>
      <w:r>
        <w:t>należności publicznoprawnych,</w:t>
      </w:r>
    </w:p>
    <w:p w:rsidR="00A0793E" w:rsidRDefault="00A0793E" w:rsidP="00A0793E">
      <w:pPr>
        <w:pStyle w:val="Akapitzlist"/>
        <w:numPr>
          <w:ilvl w:val="0"/>
          <w:numId w:val="5"/>
        </w:numPr>
        <w:jc w:val="both"/>
      </w:pPr>
      <w:r>
        <w:t>należności spornych i wątpliwych,</w:t>
      </w:r>
    </w:p>
    <w:p w:rsidR="00A0793E" w:rsidRDefault="00A0793E" w:rsidP="00A0793E">
      <w:pPr>
        <w:pStyle w:val="Akapitzlist"/>
        <w:numPr>
          <w:ilvl w:val="0"/>
          <w:numId w:val="5"/>
        </w:numPr>
        <w:jc w:val="both"/>
      </w:pPr>
      <w:r>
        <w:t>należności od osób nie</w:t>
      </w:r>
      <w:r w:rsidR="00A4703B">
        <w:t>prowadzących ksiąg rachunkowych, m.in. od pracowników (zaliczki, pożyczki), od kontrahentów prowadzących działalność gospodarczą, ale nieprowadzących ksiąg rachunkowych (np. prowadzących podatkowa księgę przychodów i rozchodów).</w:t>
      </w:r>
    </w:p>
    <w:p w:rsidR="00A4703B" w:rsidRDefault="00A4703B" w:rsidP="00A4703B">
      <w:pPr>
        <w:jc w:val="both"/>
      </w:pPr>
      <w:r>
        <w:t>W przypadku należności i zobowiązań nie występują różnice inwentaryzacyjne. Wszystkie niezgodności powinny być wyjaśnione, a w razie stwierdzenia błędów – dokonane w księgach rachunkowych  odpowiednie zapisy korygujące.</w:t>
      </w:r>
    </w:p>
    <w:p w:rsidR="00263AF6" w:rsidRPr="002E31F7" w:rsidRDefault="002E31F7" w:rsidP="00263AF6">
      <w:pPr>
        <w:jc w:val="both"/>
        <w:rPr>
          <w:u w:val="single"/>
        </w:rPr>
      </w:pPr>
      <w:r w:rsidRPr="002E31F7">
        <w:rPr>
          <w:u w:val="single"/>
        </w:rPr>
        <w:t>Inwentaryzacja materiałów i towarów</w:t>
      </w:r>
    </w:p>
    <w:p w:rsidR="002E31F7" w:rsidRDefault="002E31F7" w:rsidP="00263AF6">
      <w:pPr>
        <w:jc w:val="both"/>
      </w:pPr>
      <w:r>
        <w:t>W przypadku zapasów możliwe są do zastosowania trzy metody inwentaryzacji:</w:t>
      </w:r>
    </w:p>
    <w:p w:rsidR="002E31F7" w:rsidRDefault="002E31F7" w:rsidP="002E31F7">
      <w:pPr>
        <w:pStyle w:val="Akapitzlist"/>
        <w:numPr>
          <w:ilvl w:val="0"/>
          <w:numId w:val="6"/>
        </w:numPr>
        <w:jc w:val="both"/>
      </w:pPr>
      <w:r>
        <w:t>spis z natury,</w:t>
      </w:r>
    </w:p>
    <w:p w:rsidR="002E31F7" w:rsidRDefault="002E31F7" w:rsidP="002E31F7">
      <w:pPr>
        <w:pStyle w:val="Akapitzlist"/>
        <w:numPr>
          <w:ilvl w:val="0"/>
          <w:numId w:val="6"/>
        </w:numPr>
        <w:jc w:val="both"/>
      </w:pPr>
      <w:r>
        <w:t>uzyskanie potwierdzeń sald od kontrahentów,</w:t>
      </w:r>
    </w:p>
    <w:p w:rsidR="002E31F7" w:rsidRDefault="002E31F7" w:rsidP="002E31F7">
      <w:pPr>
        <w:pStyle w:val="Akapitzlist"/>
        <w:numPr>
          <w:ilvl w:val="0"/>
          <w:numId w:val="6"/>
        </w:numPr>
        <w:jc w:val="both"/>
      </w:pPr>
      <w:r>
        <w:t>porównanie zapisów w księgach rachunkowych z dowodami źródłowymi.</w:t>
      </w:r>
    </w:p>
    <w:p w:rsidR="002E31F7" w:rsidRDefault="002E31F7" w:rsidP="002E31F7">
      <w:pPr>
        <w:jc w:val="both"/>
      </w:pPr>
      <w:r>
        <w:t>Podstawową metodą inwentaryzacji towarów i materiałów jest spis z natury. W razie wystąpienia różnic wartość księgowa materiałów i towarów musi być doprowadzona do wartości zgodnej ze stanem rzeczywistym tych składników majątku.</w:t>
      </w:r>
    </w:p>
    <w:p w:rsidR="002E31F7" w:rsidRDefault="002E31F7" w:rsidP="002E31F7">
      <w:pPr>
        <w:jc w:val="both"/>
      </w:pPr>
      <w:r>
        <w:t>Powodem ujawnienia tych różnic są najczęściej:</w:t>
      </w:r>
    </w:p>
    <w:p w:rsidR="002E31F7" w:rsidRDefault="002E31F7" w:rsidP="002E31F7">
      <w:pPr>
        <w:pStyle w:val="Akapitzlist"/>
        <w:numPr>
          <w:ilvl w:val="0"/>
          <w:numId w:val="7"/>
        </w:numPr>
        <w:jc w:val="both"/>
      </w:pPr>
      <w:r>
        <w:t>zmiany naturalnych cech przedmiotów, których nie można ustalić na podstawie dowodów (np. zużycie z upływem czasu, ulatnianie się, wysychanie, niedokładny pomiar przyjęcia i wydania materiałów masowych, przeterminowanie zapasów, zmiany mody),</w:t>
      </w:r>
    </w:p>
    <w:p w:rsidR="002E31F7" w:rsidRDefault="002E31F7" w:rsidP="002E31F7">
      <w:pPr>
        <w:pStyle w:val="Akapitzlist"/>
        <w:numPr>
          <w:ilvl w:val="0"/>
          <w:numId w:val="7"/>
        </w:numPr>
        <w:jc w:val="both"/>
      </w:pPr>
      <w:r>
        <w:t xml:space="preserve">błędy i nadużycia </w:t>
      </w:r>
      <w:r w:rsidR="00DD0465">
        <w:t xml:space="preserve">popełnione przez pracowników (pomyłki liczbowe w dokumentacji </w:t>
      </w:r>
      <w:r w:rsidR="00C5666D">
        <w:t xml:space="preserve">                                 </w:t>
      </w:r>
      <w:r w:rsidR="00DD0465">
        <w:t>i zapisach, pomyłki w przyjmowaniu i wydawaniu składników majątku, kradzieże).</w:t>
      </w:r>
    </w:p>
    <w:p w:rsidR="00DD0465" w:rsidRDefault="00DD0465" w:rsidP="00DD0465">
      <w:pPr>
        <w:jc w:val="both"/>
      </w:pPr>
      <w:r>
        <w:t>Terminy przeprowadzania inwentaryzacji materiałów i towarów drogą spisu z natury: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3"/>
        <w:gridCol w:w="2833"/>
        <w:gridCol w:w="2834"/>
      </w:tblGrid>
      <w:tr w:rsidR="00DD0465" w:rsidRPr="00C5666D" w:rsidTr="00DD0465">
        <w:tc>
          <w:tcPr>
            <w:tcW w:w="562" w:type="dxa"/>
          </w:tcPr>
          <w:p w:rsidR="00DD0465" w:rsidRPr="00C5666D" w:rsidRDefault="00DD0465" w:rsidP="001E4D70">
            <w:pPr>
              <w:jc w:val="center"/>
              <w:rPr>
                <w:sz w:val="18"/>
                <w:szCs w:val="18"/>
              </w:rPr>
            </w:pPr>
            <w:r w:rsidRPr="00C5666D">
              <w:rPr>
                <w:sz w:val="18"/>
                <w:szCs w:val="18"/>
              </w:rPr>
              <w:t>Lp.</w:t>
            </w:r>
          </w:p>
        </w:tc>
        <w:tc>
          <w:tcPr>
            <w:tcW w:w="2833" w:type="dxa"/>
          </w:tcPr>
          <w:p w:rsidR="00DD0465" w:rsidRPr="00C5666D" w:rsidRDefault="00DD0465" w:rsidP="001E4D70">
            <w:pPr>
              <w:jc w:val="center"/>
              <w:rPr>
                <w:sz w:val="18"/>
                <w:szCs w:val="18"/>
              </w:rPr>
            </w:pPr>
            <w:r w:rsidRPr="00C5666D">
              <w:rPr>
                <w:sz w:val="18"/>
                <w:szCs w:val="18"/>
              </w:rPr>
              <w:t>Charakterystyka zapasów</w:t>
            </w:r>
          </w:p>
        </w:tc>
        <w:tc>
          <w:tcPr>
            <w:tcW w:w="2833" w:type="dxa"/>
          </w:tcPr>
          <w:p w:rsidR="00DD0465" w:rsidRPr="00C5666D" w:rsidRDefault="00DD0465" w:rsidP="001E4D70">
            <w:pPr>
              <w:jc w:val="center"/>
              <w:rPr>
                <w:sz w:val="18"/>
                <w:szCs w:val="18"/>
              </w:rPr>
            </w:pPr>
            <w:r w:rsidRPr="00C5666D">
              <w:rPr>
                <w:sz w:val="18"/>
                <w:szCs w:val="18"/>
              </w:rPr>
              <w:t>Termin inwentaryzacji</w:t>
            </w:r>
          </w:p>
        </w:tc>
        <w:tc>
          <w:tcPr>
            <w:tcW w:w="2834" w:type="dxa"/>
          </w:tcPr>
          <w:p w:rsidR="00DD0465" w:rsidRPr="00C5666D" w:rsidRDefault="00DD0465" w:rsidP="001E4D70">
            <w:pPr>
              <w:jc w:val="center"/>
              <w:rPr>
                <w:sz w:val="18"/>
                <w:szCs w:val="18"/>
              </w:rPr>
            </w:pPr>
            <w:r w:rsidRPr="00C5666D">
              <w:rPr>
                <w:sz w:val="18"/>
                <w:szCs w:val="18"/>
              </w:rPr>
              <w:t>Dokumentacja</w:t>
            </w:r>
          </w:p>
        </w:tc>
      </w:tr>
      <w:tr w:rsidR="00DD0465" w:rsidRPr="00C5666D" w:rsidTr="00DD0465">
        <w:tc>
          <w:tcPr>
            <w:tcW w:w="562" w:type="dxa"/>
          </w:tcPr>
          <w:p w:rsidR="00DD0465" w:rsidRPr="00C5666D" w:rsidRDefault="00DD0465" w:rsidP="00DD0465">
            <w:pPr>
              <w:jc w:val="both"/>
              <w:rPr>
                <w:sz w:val="18"/>
                <w:szCs w:val="18"/>
              </w:rPr>
            </w:pPr>
            <w:r w:rsidRPr="00C5666D">
              <w:rPr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DD0465" w:rsidRPr="00C5666D" w:rsidRDefault="00DD0465" w:rsidP="00DD0465">
            <w:pPr>
              <w:jc w:val="both"/>
              <w:rPr>
                <w:sz w:val="18"/>
                <w:szCs w:val="18"/>
              </w:rPr>
            </w:pPr>
            <w:r w:rsidRPr="00C5666D">
              <w:rPr>
                <w:sz w:val="18"/>
                <w:szCs w:val="18"/>
              </w:rPr>
              <w:t>Zapasy znajdujące się w strzeżonych składowiskach i objęte ewidencją ilościowo-jakościową</w:t>
            </w:r>
          </w:p>
        </w:tc>
        <w:tc>
          <w:tcPr>
            <w:tcW w:w="2833" w:type="dxa"/>
          </w:tcPr>
          <w:p w:rsidR="00DD0465" w:rsidRPr="00C5666D" w:rsidRDefault="00DD0465" w:rsidP="00DD0465">
            <w:pPr>
              <w:jc w:val="both"/>
              <w:rPr>
                <w:sz w:val="18"/>
                <w:szCs w:val="18"/>
              </w:rPr>
            </w:pPr>
            <w:r w:rsidRPr="00C5666D">
              <w:rPr>
                <w:sz w:val="18"/>
                <w:szCs w:val="18"/>
              </w:rPr>
              <w:t>Wymóg inwentaryzacji jest dotrzymany, jeżeli zostanie ona przeprowadzona nie rzadziej niż raz w ciągu 2 lat</w:t>
            </w:r>
          </w:p>
        </w:tc>
        <w:tc>
          <w:tcPr>
            <w:tcW w:w="2834" w:type="dxa"/>
          </w:tcPr>
          <w:p w:rsidR="00DD0465" w:rsidRPr="00C5666D" w:rsidRDefault="00DD0465" w:rsidP="00DD0465">
            <w:pPr>
              <w:jc w:val="both"/>
              <w:rPr>
                <w:sz w:val="18"/>
                <w:szCs w:val="18"/>
              </w:rPr>
            </w:pPr>
            <w:r w:rsidRPr="00C5666D">
              <w:rPr>
                <w:sz w:val="18"/>
                <w:szCs w:val="18"/>
              </w:rPr>
              <w:t xml:space="preserve">Arkusze spisowe oraz protokół </w:t>
            </w:r>
            <w:r w:rsidR="00C5666D">
              <w:rPr>
                <w:sz w:val="18"/>
                <w:szCs w:val="18"/>
              </w:rPr>
              <w:t xml:space="preserve">                   </w:t>
            </w:r>
            <w:r w:rsidRPr="00C5666D">
              <w:rPr>
                <w:sz w:val="18"/>
                <w:szCs w:val="18"/>
              </w:rPr>
              <w:t>z inwentaryzacji</w:t>
            </w:r>
          </w:p>
        </w:tc>
      </w:tr>
      <w:tr w:rsidR="00DD0465" w:rsidRPr="00C5666D" w:rsidTr="00DD0465">
        <w:tc>
          <w:tcPr>
            <w:tcW w:w="562" w:type="dxa"/>
          </w:tcPr>
          <w:p w:rsidR="00DD0465" w:rsidRPr="00C5666D" w:rsidRDefault="00DD0465" w:rsidP="00DD0465">
            <w:pPr>
              <w:jc w:val="both"/>
              <w:rPr>
                <w:sz w:val="18"/>
                <w:szCs w:val="18"/>
              </w:rPr>
            </w:pPr>
            <w:r w:rsidRPr="00C5666D">
              <w:rPr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DD0465" w:rsidRPr="00C5666D" w:rsidRDefault="00DD0465" w:rsidP="00DD0465">
            <w:pPr>
              <w:jc w:val="both"/>
              <w:rPr>
                <w:sz w:val="18"/>
                <w:szCs w:val="18"/>
              </w:rPr>
            </w:pPr>
            <w:r w:rsidRPr="00C5666D">
              <w:rPr>
                <w:sz w:val="18"/>
                <w:szCs w:val="18"/>
              </w:rPr>
              <w:t>Zapasy odpisywane w koszty w momencie zakupu</w:t>
            </w:r>
          </w:p>
        </w:tc>
        <w:tc>
          <w:tcPr>
            <w:tcW w:w="2833" w:type="dxa"/>
          </w:tcPr>
          <w:p w:rsidR="00DD0465" w:rsidRPr="00C5666D" w:rsidRDefault="00DD0465" w:rsidP="00DD0465">
            <w:pPr>
              <w:jc w:val="both"/>
              <w:rPr>
                <w:sz w:val="18"/>
                <w:szCs w:val="18"/>
              </w:rPr>
            </w:pPr>
            <w:r w:rsidRPr="00C5666D">
              <w:rPr>
                <w:sz w:val="18"/>
                <w:szCs w:val="18"/>
              </w:rPr>
              <w:t>Na ostatni dzień każdego roku obrotowego (obowiązek corocznej inwentaryzacji)</w:t>
            </w:r>
          </w:p>
        </w:tc>
        <w:tc>
          <w:tcPr>
            <w:tcW w:w="2834" w:type="dxa"/>
          </w:tcPr>
          <w:p w:rsidR="00DD0465" w:rsidRPr="00C5666D" w:rsidRDefault="00DD0465" w:rsidP="00DD0465">
            <w:pPr>
              <w:jc w:val="both"/>
              <w:rPr>
                <w:sz w:val="18"/>
                <w:szCs w:val="18"/>
              </w:rPr>
            </w:pPr>
            <w:r w:rsidRPr="00C5666D">
              <w:rPr>
                <w:sz w:val="18"/>
                <w:szCs w:val="18"/>
              </w:rPr>
              <w:t xml:space="preserve">Arkusze spisowe oraz protokół </w:t>
            </w:r>
            <w:r w:rsidR="00C5666D">
              <w:rPr>
                <w:sz w:val="18"/>
                <w:szCs w:val="18"/>
              </w:rPr>
              <w:t xml:space="preserve">                   </w:t>
            </w:r>
            <w:r w:rsidRPr="00C5666D">
              <w:rPr>
                <w:sz w:val="18"/>
                <w:szCs w:val="18"/>
              </w:rPr>
              <w:t>z inwentaryzacji</w:t>
            </w:r>
          </w:p>
        </w:tc>
      </w:tr>
      <w:tr w:rsidR="00DD0465" w:rsidRPr="00C5666D" w:rsidTr="00DD0465">
        <w:tc>
          <w:tcPr>
            <w:tcW w:w="562" w:type="dxa"/>
          </w:tcPr>
          <w:p w:rsidR="00DD0465" w:rsidRPr="00C5666D" w:rsidRDefault="00DD0465" w:rsidP="00DD0465">
            <w:pPr>
              <w:jc w:val="both"/>
              <w:rPr>
                <w:sz w:val="18"/>
                <w:szCs w:val="18"/>
              </w:rPr>
            </w:pPr>
            <w:r w:rsidRPr="00C5666D">
              <w:rPr>
                <w:sz w:val="18"/>
                <w:szCs w:val="18"/>
              </w:rPr>
              <w:t>3</w:t>
            </w:r>
          </w:p>
        </w:tc>
        <w:tc>
          <w:tcPr>
            <w:tcW w:w="2833" w:type="dxa"/>
          </w:tcPr>
          <w:p w:rsidR="00DD0465" w:rsidRPr="00C5666D" w:rsidRDefault="00DD0465" w:rsidP="00DD0465">
            <w:pPr>
              <w:jc w:val="both"/>
              <w:rPr>
                <w:sz w:val="18"/>
                <w:szCs w:val="18"/>
              </w:rPr>
            </w:pPr>
            <w:r w:rsidRPr="00C5666D">
              <w:rPr>
                <w:sz w:val="18"/>
                <w:szCs w:val="18"/>
              </w:rPr>
              <w:t>Zapasy objęte ewidencją wartościową w punktach obrotu detalicznego jednostki</w:t>
            </w:r>
          </w:p>
        </w:tc>
        <w:tc>
          <w:tcPr>
            <w:tcW w:w="2833" w:type="dxa"/>
          </w:tcPr>
          <w:p w:rsidR="00DD0465" w:rsidRPr="00C5666D" w:rsidRDefault="00DD0465" w:rsidP="00DD0465">
            <w:pPr>
              <w:jc w:val="both"/>
              <w:rPr>
                <w:sz w:val="18"/>
                <w:szCs w:val="18"/>
              </w:rPr>
            </w:pPr>
            <w:r w:rsidRPr="00C5666D">
              <w:rPr>
                <w:sz w:val="18"/>
                <w:szCs w:val="18"/>
              </w:rPr>
              <w:t>Wymóg inwentaryzacji jest dotrzymany, jeżeli zostanie ona przeprowadzona nie rzadziej niż raz</w:t>
            </w:r>
            <w:r w:rsidRPr="00C5666D">
              <w:rPr>
                <w:sz w:val="18"/>
                <w:szCs w:val="18"/>
              </w:rPr>
              <w:t xml:space="preserve"> w roku</w:t>
            </w:r>
          </w:p>
        </w:tc>
        <w:tc>
          <w:tcPr>
            <w:tcW w:w="2834" w:type="dxa"/>
          </w:tcPr>
          <w:p w:rsidR="00DD0465" w:rsidRPr="00C5666D" w:rsidRDefault="00DD0465" w:rsidP="00DD0465">
            <w:pPr>
              <w:jc w:val="both"/>
              <w:rPr>
                <w:sz w:val="18"/>
                <w:szCs w:val="18"/>
              </w:rPr>
            </w:pPr>
            <w:r w:rsidRPr="00C5666D">
              <w:rPr>
                <w:sz w:val="18"/>
                <w:szCs w:val="18"/>
              </w:rPr>
              <w:t xml:space="preserve">Arkusze spisowe oraz protokół </w:t>
            </w:r>
            <w:r w:rsidR="00C5666D">
              <w:rPr>
                <w:sz w:val="18"/>
                <w:szCs w:val="18"/>
              </w:rPr>
              <w:t xml:space="preserve">                  </w:t>
            </w:r>
            <w:r w:rsidRPr="00C5666D">
              <w:rPr>
                <w:sz w:val="18"/>
                <w:szCs w:val="18"/>
              </w:rPr>
              <w:t>z inwentaryzacji</w:t>
            </w:r>
          </w:p>
        </w:tc>
      </w:tr>
      <w:tr w:rsidR="00DD0465" w:rsidRPr="00C5666D" w:rsidTr="00DD0465">
        <w:tc>
          <w:tcPr>
            <w:tcW w:w="562" w:type="dxa"/>
          </w:tcPr>
          <w:p w:rsidR="00DD0465" w:rsidRPr="00C5666D" w:rsidRDefault="00DD0465" w:rsidP="00DD0465">
            <w:pPr>
              <w:jc w:val="both"/>
              <w:rPr>
                <w:sz w:val="18"/>
                <w:szCs w:val="18"/>
              </w:rPr>
            </w:pPr>
            <w:r w:rsidRPr="00C5666D">
              <w:rPr>
                <w:sz w:val="18"/>
                <w:szCs w:val="18"/>
              </w:rPr>
              <w:t>4</w:t>
            </w:r>
          </w:p>
        </w:tc>
        <w:tc>
          <w:tcPr>
            <w:tcW w:w="2833" w:type="dxa"/>
          </w:tcPr>
          <w:p w:rsidR="00DD0465" w:rsidRPr="00C5666D" w:rsidRDefault="00DD0465" w:rsidP="00DD0465">
            <w:pPr>
              <w:jc w:val="both"/>
              <w:rPr>
                <w:sz w:val="18"/>
                <w:szCs w:val="18"/>
              </w:rPr>
            </w:pPr>
            <w:r w:rsidRPr="00C5666D">
              <w:rPr>
                <w:sz w:val="18"/>
                <w:szCs w:val="18"/>
              </w:rPr>
              <w:t>Zapasy, których inwentaryzacja metodą spisu z natury z przyczyn uzasadnionych nie jest możliwa</w:t>
            </w:r>
          </w:p>
        </w:tc>
        <w:tc>
          <w:tcPr>
            <w:tcW w:w="2833" w:type="dxa"/>
          </w:tcPr>
          <w:p w:rsidR="00DD0465" w:rsidRPr="00C5666D" w:rsidRDefault="00DD0465" w:rsidP="00DD0465">
            <w:pPr>
              <w:jc w:val="both"/>
              <w:rPr>
                <w:sz w:val="18"/>
                <w:szCs w:val="18"/>
              </w:rPr>
            </w:pPr>
            <w:r w:rsidRPr="00C5666D">
              <w:rPr>
                <w:sz w:val="18"/>
                <w:szCs w:val="18"/>
              </w:rPr>
              <w:t>Nie wcześniej niż 3 miesiące przed końcem roku obrotowego i nie później niż 15 dnia roku następnego (</w:t>
            </w:r>
            <w:r w:rsidRPr="00C5666D">
              <w:rPr>
                <w:sz w:val="18"/>
                <w:szCs w:val="18"/>
              </w:rPr>
              <w:t>obowiązek corocznej inwentaryzacji)</w:t>
            </w:r>
          </w:p>
        </w:tc>
        <w:tc>
          <w:tcPr>
            <w:tcW w:w="2834" w:type="dxa"/>
          </w:tcPr>
          <w:p w:rsidR="00DD0465" w:rsidRPr="00C5666D" w:rsidRDefault="00DD0465" w:rsidP="00DD0465">
            <w:pPr>
              <w:jc w:val="both"/>
              <w:rPr>
                <w:sz w:val="18"/>
                <w:szCs w:val="18"/>
              </w:rPr>
            </w:pPr>
            <w:r w:rsidRPr="00C5666D">
              <w:rPr>
                <w:sz w:val="18"/>
                <w:szCs w:val="18"/>
              </w:rPr>
              <w:t>Porównanie z dokumentami źródłowymi</w:t>
            </w:r>
          </w:p>
        </w:tc>
      </w:tr>
      <w:tr w:rsidR="00DD0465" w:rsidRPr="00C5666D" w:rsidTr="00DD0465">
        <w:tc>
          <w:tcPr>
            <w:tcW w:w="562" w:type="dxa"/>
          </w:tcPr>
          <w:p w:rsidR="00DD0465" w:rsidRPr="00C5666D" w:rsidRDefault="00DD0465" w:rsidP="00DD0465">
            <w:pPr>
              <w:jc w:val="both"/>
              <w:rPr>
                <w:sz w:val="18"/>
                <w:szCs w:val="18"/>
              </w:rPr>
            </w:pPr>
            <w:r w:rsidRPr="00C5666D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833" w:type="dxa"/>
          </w:tcPr>
          <w:p w:rsidR="00DD0465" w:rsidRPr="00C5666D" w:rsidRDefault="00C5666D" w:rsidP="00DD0465">
            <w:pPr>
              <w:jc w:val="both"/>
              <w:rPr>
                <w:sz w:val="18"/>
                <w:szCs w:val="18"/>
              </w:rPr>
            </w:pPr>
            <w:r w:rsidRPr="00C5666D">
              <w:rPr>
                <w:sz w:val="18"/>
                <w:szCs w:val="18"/>
              </w:rPr>
              <w:t>Zapasy znajdujące się poza jednostką</w:t>
            </w:r>
            <w:r w:rsidR="001E4D70">
              <w:rPr>
                <w:sz w:val="18"/>
                <w:szCs w:val="18"/>
              </w:rPr>
              <w:t xml:space="preserve"> (np. materiały w przerobie obcym, towary przekazane do sprzedaży komisowej)</w:t>
            </w:r>
          </w:p>
        </w:tc>
        <w:tc>
          <w:tcPr>
            <w:tcW w:w="2833" w:type="dxa"/>
          </w:tcPr>
          <w:p w:rsidR="00DD0465" w:rsidRPr="00C5666D" w:rsidRDefault="00C5666D" w:rsidP="00DD0465">
            <w:pPr>
              <w:jc w:val="both"/>
              <w:rPr>
                <w:sz w:val="18"/>
                <w:szCs w:val="18"/>
              </w:rPr>
            </w:pPr>
            <w:r w:rsidRPr="00C5666D">
              <w:rPr>
                <w:sz w:val="18"/>
                <w:szCs w:val="18"/>
              </w:rPr>
              <w:t>Nie wcześniej niż 3 miesiące przed końcem roku obrotowego i nie później niż 15 dnia roku następnego (obowiązek corocznej inwentaryzacji)</w:t>
            </w:r>
          </w:p>
        </w:tc>
        <w:tc>
          <w:tcPr>
            <w:tcW w:w="2834" w:type="dxa"/>
          </w:tcPr>
          <w:p w:rsidR="00DD0465" w:rsidRPr="00C5666D" w:rsidRDefault="00C5666D" w:rsidP="00DD0465">
            <w:pPr>
              <w:jc w:val="both"/>
              <w:rPr>
                <w:sz w:val="18"/>
                <w:szCs w:val="18"/>
              </w:rPr>
            </w:pPr>
            <w:r w:rsidRPr="00C5666D">
              <w:rPr>
                <w:sz w:val="18"/>
                <w:szCs w:val="18"/>
              </w:rPr>
              <w:t>Potwierdzenia sald</w:t>
            </w:r>
          </w:p>
        </w:tc>
      </w:tr>
    </w:tbl>
    <w:p w:rsidR="00DD0465" w:rsidRDefault="00DD0465" w:rsidP="00DD0465">
      <w:pPr>
        <w:jc w:val="both"/>
      </w:pPr>
    </w:p>
    <w:p w:rsidR="001E4D70" w:rsidRDefault="001E4D70" w:rsidP="00DD0465">
      <w:pPr>
        <w:jc w:val="both"/>
      </w:pPr>
      <w:r>
        <w:t xml:space="preserve">Ujawnione w toku inwentaryzacji różnice pomiędzy stanem rzeczywistym a stanem z ksiąg rachunkowych należy wyjaśnić i rozliczyć w księgach rachunkowych tego roku obrotowego, na który przypadł termin inwentaryzacji. </w:t>
      </w:r>
      <w:r w:rsidR="003C6F5E">
        <w:t>Różnice inwentaryzacyjne dzielą się na:</w:t>
      </w:r>
    </w:p>
    <w:p w:rsidR="003C6F5E" w:rsidRDefault="003C6F5E" w:rsidP="003C6F5E">
      <w:pPr>
        <w:pStyle w:val="Akapitzlist"/>
        <w:numPr>
          <w:ilvl w:val="0"/>
          <w:numId w:val="8"/>
        </w:numPr>
        <w:jc w:val="both"/>
      </w:pPr>
      <w:r>
        <w:t>niedobory – gdy stan faktyczny ustalony w trakcie inwentaryzacji jest niższy od stanu wynikającego z ksiąg rachunkowych,</w:t>
      </w:r>
    </w:p>
    <w:p w:rsidR="003C6F5E" w:rsidRDefault="003C6F5E" w:rsidP="003C6F5E">
      <w:pPr>
        <w:pStyle w:val="Akapitzlist"/>
        <w:numPr>
          <w:ilvl w:val="0"/>
          <w:numId w:val="8"/>
        </w:numPr>
        <w:jc w:val="both"/>
      </w:pPr>
      <w:r>
        <w:t xml:space="preserve">nadwyżki - </w:t>
      </w:r>
      <w:r>
        <w:t xml:space="preserve">gdy stan faktyczny ustalony w trakcie inwentaryzacji jest </w:t>
      </w:r>
      <w:r>
        <w:t>wyższy</w:t>
      </w:r>
      <w:r>
        <w:t xml:space="preserve"> od stanu wynikającego z ksiąg rachunkowych</w:t>
      </w:r>
      <w:r>
        <w:t>.</w:t>
      </w:r>
    </w:p>
    <w:p w:rsidR="003C6F5E" w:rsidRDefault="003C6F5E" w:rsidP="003C6F5E">
      <w:pPr>
        <w:jc w:val="both"/>
      </w:pPr>
      <w:r>
        <w:t>Przy rozliczaniu różnic inwentaryzacyjnych istotne jest uwzględnienie ewentualnych ubytków naturalnych.</w:t>
      </w:r>
    </w:p>
    <w:p w:rsidR="003C6F5E" w:rsidRDefault="003C6F5E" w:rsidP="003C6F5E">
      <w:pPr>
        <w:jc w:val="both"/>
      </w:pPr>
      <w:r w:rsidRPr="00CC3EBD">
        <w:rPr>
          <w:b/>
        </w:rPr>
        <w:t>Ubytek naturalny</w:t>
      </w:r>
      <w:r>
        <w:t xml:space="preserve"> – niezawinione straty w składnikach majątku, których nie można uniknąć, gdyż związane są z właściwościami fizycznymi lub chemicznymi inwentaryzowanych składników majątkowych, z działaniem czynników biologicznych lub klimatycznych, z warunkami ich transportowania lub magazynowania.</w:t>
      </w:r>
    </w:p>
    <w:p w:rsidR="005F6C23" w:rsidRDefault="005F6C23" w:rsidP="003C6F5E">
      <w:pPr>
        <w:jc w:val="both"/>
      </w:pPr>
      <w:r>
        <w:t>W jednostkach szczególnie dysponującymi materiałami i towarami narażonymi na ubytki naturalne powinny być ustalone normy tych ubytków. Wyliczenie wartości ubytków maturalnych jest pierwszym etapem w rozliczeniu różnic inwentaryzacyjnych. Niedobory mieszczące się w granicach norm ubytków naturalnych należy odnieść w ciężar kosztów podstawowej działalności operacyjnej.</w:t>
      </w:r>
    </w:p>
    <w:p w:rsidR="005F6C23" w:rsidRDefault="005F6C23" w:rsidP="003C6F5E">
      <w:pPr>
        <w:jc w:val="both"/>
      </w:pPr>
      <w:r>
        <w:t xml:space="preserve">Kolejnym etapem jest kompensata stwierdzonych niedoborów z nadwyżkami. Jest ona możliwa przy spełnieniu </w:t>
      </w:r>
      <w:r w:rsidRPr="005F6C23">
        <w:rPr>
          <w:u w:val="single"/>
        </w:rPr>
        <w:t>łącznie</w:t>
      </w:r>
      <w:r>
        <w:t xml:space="preserve"> poniższych warunków:</w:t>
      </w:r>
    </w:p>
    <w:p w:rsidR="005F6C23" w:rsidRDefault="005F6C23" w:rsidP="005F6C23">
      <w:pPr>
        <w:pStyle w:val="Akapitzlist"/>
        <w:numPr>
          <w:ilvl w:val="0"/>
          <w:numId w:val="9"/>
        </w:numPr>
        <w:jc w:val="both"/>
      </w:pPr>
      <w:r>
        <w:t>niedobory i nadwyżki zostały ujawnione w toku tego samego spisu z natury,</w:t>
      </w:r>
    </w:p>
    <w:p w:rsidR="005F6C23" w:rsidRDefault="005F6C23" w:rsidP="005F6C23">
      <w:pPr>
        <w:pStyle w:val="Akapitzlist"/>
        <w:numPr>
          <w:ilvl w:val="0"/>
          <w:numId w:val="9"/>
        </w:numPr>
        <w:jc w:val="both"/>
      </w:pPr>
      <w:r>
        <w:t>różnice inwentaryzacyjne dotyczą jednej osoby materialnie odpowiedzialnej lub jednej grupy pracowników, którzy przyjęli wspólną odpowiedzialność za majątek,</w:t>
      </w:r>
    </w:p>
    <w:p w:rsidR="005F6C23" w:rsidRDefault="005F6C23" w:rsidP="005F6C23">
      <w:pPr>
        <w:pStyle w:val="Akapitzlist"/>
        <w:numPr>
          <w:ilvl w:val="0"/>
          <w:numId w:val="9"/>
        </w:numPr>
        <w:jc w:val="both"/>
      </w:pPr>
      <w:r>
        <w:t>niedobory i nadwyżki powstały w składnikach o zbliżonych i podobnych cechach, wymiarach, opakowaniach (co może świadczyć o zaistniałej pomyłce).</w:t>
      </w:r>
    </w:p>
    <w:p w:rsidR="005F6C23" w:rsidRDefault="005F6C23" w:rsidP="005F6C23">
      <w:pPr>
        <w:jc w:val="both"/>
      </w:pPr>
      <w:r>
        <w:t>Kompensata niedoborów z nadwyżkami następuje wg zasady „mniejsza ilość z niższą ceną”.</w:t>
      </w:r>
    </w:p>
    <w:p w:rsidR="00D31482" w:rsidRDefault="005F6C23" w:rsidP="005F6C23">
      <w:pPr>
        <w:jc w:val="both"/>
      </w:pPr>
      <w:r>
        <w:t>Niedobory niezawinione i przekraczające normy ubytków naturalnych oraz po ewentualnej kompensacie niedoborów z nadwyżkami należy przeksięgować w ciężar pozostałych kosztów operacyjnych. Nadwyżki inwentaryzacyjne o nieustalonym źródle</w:t>
      </w:r>
      <w:r w:rsidR="00896087">
        <w:t xml:space="preserve">  pochodzenia zwiększają pozostałe przychody operacyjne (dotyczy to także kwoty nierozliczonej nadwyżki po kompensacie </w:t>
      </w:r>
      <w:r w:rsidR="00D31482">
        <w:t xml:space="preserve">                                             </w:t>
      </w:r>
      <w:r w:rsidR="00896087">
        <w:t xml:space="preserve">z niedoborami). </w:t>
      </w:r>
    </w:p>
    <w:p w:rsidR="005F6C23" w:rsidRDefault="00D31482" w:rsidP="005F6C23">
      <w:pPr>
        <w:jc w:val="both"/>
      </w:pPr>
      <w:r>
        <w:t xml:space="preserve">W przypadku niedoborów zawinionych decyzję o cenie, po jakiej zostanie obciążona osoba materialnie odpowiedzialna, podejmuje kierownik jednostki (może to być cena zakupu, cena nabycia lub cena rynkowa). </w:t>
      </w:r>
      <w:r w:rsidR="00C273F7">
        <w:t xml:space="preserve">Jeżeli osobę materialnie odpowiedzialną obciążono kwotą wyższą niż kwota ustalonego niedoboru zawinionego, to różnicę – do czasu uzyskania akceptacji takiego obciążenia – należy ująć po stronie </w:t>
      </w:r>
      <w:proofErr w:type="spellStart"/>
      <w:r w:rsidR="00C273F7">
        <w:t>Ct</w:t>
      </w:r>
      <w:proofErr w:type="spellEnd"/>
      <w:r w:rsidR="00C273F7">
        <w:t xml:space="preserve"> konta ODPISY AKTUALIZUJĄCE NALEŻNOŚCI, lub konta ROZLICZENIA MIĘDZYOKRESOWE PRZYCHODÓW. Konta te są kontami korygującymi do konta POZOSTAŁE ROZRACHUNKI Z PRACOWNIKAMI, co oznacza, ze bilansowa wartość należności z tytułu niedoborów stanowi różnicę </w:t>
      </w:r>
      <w:r w:rsidR="00C273F7">
        <w:lastRenderedPageBreak/>
        <w:t xml:space="preserve">pomiędzy saldem </w:t>
      </w:r>
      <w:proofErr w:type="spellStart"/>
      <w:r w:rsidR="00C273F7">
        <w:t>Dt</w:t>
      </w:r>
      <w:proofErr w:type="spellEnd"/>
      <w:r w:rsidR="00C273F7">
        <w:t xml:space="preserve"> konta POZOSTAŁE ROZRACHUNKI Z PRACOWNIKAMI oraz saldem </w:t>
      </w:r>
      <w:proofErr w:type="spellStart"/>
      <w:r w:rsidR="00C273F7">
        <w:t>Ct</w:t>
      </w:r>
      <w:proofErr w:type="spellEnd"/>
      <w:r w:rsidR="00C273F7">
        <w:t xml:space="preserve"> konta ODPISY AKTUALIZUJĄCE NALEŻ</w:t>
      </w:r>
      <w:r w:rsidR="00A777B0">
        <w:t>NOŚCI lub konta ROZLICZENIA MIĘDZYOKRESOWE PRZYCHODÓW.</w:t>
      </w:r>
    </w:p>
    <w:p w:rsidR="00A777B0" w:rsidRDefault="00A777B0" w:rsidP="005F6C23">
      <w:pPr>
        <w:jc w:val="both"/>
      </w:pPr>
      <w:r>
        <w:t>Uznanie przez pracownika roszczenia z tytułu niedoborów ujmuje się jako inne należności, natomiast należności kwestionowane, które skierowano na drogę postępowania sądowego – stanowią należności dochodzone na drodze sądowej.</w:t>
      </w:r>
    </w:p>
    <w:p w:rsidR="005933C6" w:rsidRPr="00417E01" w:rsidRDefault="005933C6" w:rsidP="005F6C23">
      <w:pPr>
        <w:jc w:val="both"/>
        <w:rPr>
          <w:u w:val="single"/>
        </w:rPr>
      </w:pPr>
      <w:r w:rsidRPr="00417E01">
        <w:rPr>
          <w:u w:val="single"/>
        </w:rPr>
        <w:t xml:space="preserve">Inwentaryzacja środków trwałych, środków trwałych w budowie oraz wartości niematerialnych </w:t>
      </w:r>
      <w:r w:rsidR="00417E01">
        <w:rPr>
          <w:u w:val="single"/>
        </w:rPr>
        <w:t xml:space="preserve">                           </w:t>
      </w:r>
      <w:r w:rsidRPr="00417E01">
        <w:rPr>
          <w:u w:val="single"/>
        </w:rPr>
        <w:t>i prawnych.</w:t>
      </w:r>
    </w:p>
    <w:p w:rsidR="005933C6" w:rsidRDefault="00417E01" w:rsidP="005F6C23">
      <w:pPr>
        <w:jc w:val="both"/>
      </w:pPr>
      <w:r>
        <w:t xml:space="preserve">Jednostki zobligowane są </w:t>
      </w:r>
      <w:r w:rsidR="00641C18">
        <w:t xml:space="preserve">do przeprowadzenia inwentaryzacji środków trwałych, środków trwałych                  w budowie oraz wartości niematerialnych i prawnych na ostatni dzień każdego roku obrotowego. </w:t>
      </w:r>
    </w:p>
    <w:p w:rsidR="0087727C" w:rsidRDefault="0087727C" w:rsidP="005F6C23">
      <w:pPr>
        <w:jc w:val="both"/>
      </w:pPr>
      <w:r>
        <w:t xml:space="preserve">Inwentaryzację tą przeprowadza się metoda spisu z natury, ich wyceny, porównania wartości z danymi wynikającymi z ksiąg rachunkowych oraz wyjaśnienia ewentualnych różnic. </w:t>
      </w:r>
    </w:p>
    <w:p w:rsidR="00CA3EFB" w:rsidRDefault="00A72B24" w:rsidP="005F6C23">
      <w:pPr>
        <w:jc w:val="both"/>
      </w:pPr>
      <w:r>
        <w:t>Metodą spisu z natury nie inwentaryzuje się gruntów oraz tych środków</w:t>
      </w:r>
      <w:r w:rsidR="00AF0B82">
        <w:t xml:space="preserve"> trwałych, do których dostęp jest znacznie utrudniony. W takiej sytuacji </w:t>
      </w:r>
      <w:r w:rsidR="00CA3EFB">
        <w:t xml:space="preserve">inwentaryzację należy przeprowadzić drogą porównania danych ujętych w księgach rachunkowych z odpowiednimi dokumentami i weryfikacji realnej wartości tych składników. W ten sam sposób przeprowadza się inwentaryzację </w:t>
      </w:r>
      <w:proofErr w:type="spellStart"/>
      <w:r w:rsidR="00CA3EFB">
        <w:t>wnip</w:t>
      </w:r>
      <w:proofErr w:type="spellEnd"/>
      <w:r w:rsidR="00CA3EFB">
        <w:t xml:space="preserve">. </w:t>
      </w:r>
    </w:p>
    <w:p w:rsidR="00867585" w:rsidRDefault="00CA3EFB" w:rsidP="005F6C23">
      <w:pPr>
        <w:jc w:val="both"/>
      </w:pPr>
      <w:r>
        <w:t xml:space="preserve">Środki trwałe używane poza jednostką </w:t>
      </w:r>
      <w:r w:rsidR="00867585">
        <w:t>(oddane innym jednostkom na podstawie najmu, dzierżawy, leasingu) inwentaryzuje się metodą potwierdzenia sald.</w:t>
      </w:r>
    </w:p>
    <w:p w:rsidR="001772EC" w:rsidRDefault="00E115DE" w:rsidP="005F6C23">
      <w:pPr>
        <w:jc w:val="both"/>
      </w:pPr>
      <w:r>
        <w:t xml:space="preserve">Inwentaryzacja środków trwałych </w:t>
      </w:r>
      <w:r w:rsidR="007407C1">
        <w:t xml:space="preserve">i </w:t>
      </w:r>
      <w:proofErr w:type="spellStart"/>
      <w:r w:rsidR="007407C1">
        <w:t>wnip</w:t>
      </w:r>
      <w:proofErr w:type="spellEnd"/>
      <w:r w:rsidR="007407C1">
        <w:t xml:space="preserve"> powinna rozpocząć się nie wcześniej niż 3 miesiące przed końcem roku obrotowego, a zakończyć do 15 dnia następnego roku. Wyjątek od tej reguły stanowią nieruchomości, środki trwałe, maszyny i urządzenia wchodzące w skład środków trwałych w budowie</w:t>
      </w:r>
      <w:r w:rsidR="00F27DEB">
        <w:t xml:space="preserve">, znajdujące się na terenie strzeżonym. W tym przypadku termin i częstotliwość inwentaryzacji uważa się za zachowane, jeżeli przeprowadzona będzie raz na 4 lata. </w:t>
      </w:r>
    </w:p>
    <w:p w:rsidR="001A53D8" w:rsidRDefault="001772EC" w:rsidP="005F6C23">
      <w:pPr>
        <w:jc w:val="both"/>
      </w:pPr>
      <w:r>
        <w:t xml:space="preserve">W przypadku ujawnienia w toku inwentaryzacji niedoboru środków trwałych należy ująć w księgach rachunkowych niedobór danego składnika poprzez wyksięgowanie </w:t>
      </w:r>
      <w:r w:rsidR="001A53D8">
        <w:t xml:space="preserve">jego wartości początkowej i dotychczasowego umorzenia oraz ujęcie bieżącej wartości księgowej tego środka na koncie rozliczeniowym (rozliczenie niedoborów). </w:t>
      </w:r>
    </w:p>
    <w:p w:rsidR="00A72B24" w:rsidRDefault="001A53D8" w:rsidP="005F6C23">
      <w:pPr>
        <w:jc w:val="both"/>
      </w:pPr>
      <w:r>
        <w:t>W przypadku stwierdzenia nadwyżki środków trwałych (ujawnienie środka trwałego nieobjętego wcześniej ewidencją księgową)</w:t>
      </w:r>
      <w:r w:rsidR="00E52FEE">
        <w:t>, ujawniony środek przyjmuje się do ewidencji w cenie nabycia lub koszcie wytworzenia.</w:t>
      </w:r>
      <w:bookmarkStart w:id="0" w:name="_GoBack"/>
      <w:bookmarkEnd w:id="0"/>
    </w:p>
    <w:p w:rsidR="00417E01" w:rsidRDefault="00417E01" w:rsidP="005F6C23">
      <w:pPr>
        <w:jc w:val="both"/>
      </w:pPr>
    </w:p>
    <w:p w:rsidR="003C6F5E" w:rsidRDefault="003C6F5E" w:rsidP="00DD0465">
      <w:pPr>
        <w:jc w:val="both"/>
      </w:pPr>
    </w:p>
    <w:p w:rsidR="002E31F7" w:rsidRDefault="002E31F7" w:rsidP="00263AF6">
      <w:pPr>
        <w:jc w:val="both"/>
      </w:pPr>
    </w:p>
    <w:sectPr w:rsidR="002E31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B7" w:rsidRDefault="007B73B7" w:rsidP="00290053">
      <w:pPr>
        <w:spacing w:after="0" w:line="240" w:lineRule="auto"/>
      </w:pPr>
      <w:r>
        <w:separator/>
      </w:r>
    </w:p>
  </w:endnote>
  <w:endnote w:type="continuationSeparator" w:id="0">
    <w:p w:rsidR="007B73B7" w:rsidRDefault="007B73B7" w:rsidP="0029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2021952"/>
      <w:docPartObj>
        <w:docPartGallery w:val="Page Numbers (Bottom of Page)"/>
        <w:docPartUnique/>
      </w:docPartObj>
    </w:sdtPr>
    <w:sdtContent>
      <w:p w:rsidR="00290053" w:rsidRDefault="0029005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FEE">
          <w:rPr>
            <w:noProof/>
          </w:rPr>
          <w:t>3</w:t>
        </w:r>
        <w:r>
          <w:fldChar w:fldCharType="end"/>
        </w:r>
      </w:p>
    </w:sdtContent>
  </w:sdt>
  <w:p w:rsidR="00290053" w:rsidRDefault="002900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B7" w:rsidRDefault="007B73B7" w:rsidP="00290053">
      <w:pPr>
        <w:spacing w:after="0" w:line="240" w:lineRule="auto"/>
      </w:pPr>
      <w:r>
        <w:separator/>
      </w:r>
    </w:p>
  </w:footnote>
  <w:footnote w:type="continuationSeparator" w:id="0">
    <w:p w:rsidR="007B73B7" w:rsidRDefault="007B73B7" w:rsidP="00290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4D36"/>
    <w:multiLevelType w:val="hybridMultilevel"/>
    <w:tmpl w:val="BBAAD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56F7"/>
    <w:multiLevelType w:val="hybridMultilevel"/>
    <w:tmpl w:val="2F8C80E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65E6A0B"/>
    <w:multiLevelType w:val="hybridMultilevel"/>
    <w:tmpl w:val="FCE8D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40126"/>
    <w:multiLevelType w:val="hybridMultilevel"/>
    <w:tmpl w:val="9A426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D65FD"/>
    <w:multiLevelType w:val="hybridMultilevel"/>
    <w:tmpl w:val="EF02D3FE"/>
    <w:lvl w:ilvl="0" w:tplc="0415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575F27E9"/>
    <w:multiLevelType w:val="hybridMultilevel"/>
    <w:tmpl w:val="AE34779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7B2161FA"/>
    <w:multiLevelType w:val="hybridMultilevel"/>
    <w:tmpl w:val="076C1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E2DCC"/>
    <w:multiLevelType w:val="hybridMultilevel"/>
    <w:tmpl w:val="68F4B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90EBD"/>
    <w:multiLevelType w:val="hybridMultilevel"/>
    <w:tmpl w:val="2B140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8F"/>
    <w:rsid w:val="001772EC"/>
    <w:rsid w:val="001A53D8"/>
    <w:rsid w:val="001E4D70"/>
    <w:rsid w:val="001E6462"/>
    <w:rsid w:val="00263AF6"/>
    <w:rsid w:val="00290053"/>
    <w:rsid w:val="002E31F7"/>
    <w:rsid w:val="003174A5"/>
    <w:rsid w:val="003C6F5E"/>
    <w:rsid w:val="003D454D"/>
    <w:rsid w:val="00417E01"/>
    <w:rsid w:val="005608E1"/>
    <w:rsid w:val="005933C6"/>
    <w:rsid w:val="005F6C23"/>
    <w:rsid w:val="00641C18"/>
    <w:rsid w:val="00722DE0"/>
    <w:rsid w:val="007407C1"/>
    <w:rsid w:val="007A72EC"/>
    <w:rsid w:val="007B73B7"/>
    <w:rsid w:val="007D6FB0"/>
    <w:rsid w:val="00867585"/>
    <w:rsid w:val="0087727C"/>
    <w:rsid w:val="00896087"/>
    <w:rsid w:val="00907BCE"/>
    <w:rsid w:val="00A0793E"/>
    <w:rsid w:val="00A4703B"/>
    <w:rsid w:val="00A72B24"/>
    <w:rsid w:val="00A777B0"/>
    <w:rsid w:val="00AF0B82"/>
    <w:rsid w:val="00B10A8F"/>
    <w:rsid w:val="00B53C78"/>
    <w:rsid w:val="00C273F7"/>
    <w:rsid w:val="00C5666D"/>
    <w:rsid w:val="00CA3EFB"/>
    <w:rsid w:val="00CC3EBD"/>
    <w:rsid w:val="00D31482"/>
    <w:rsid w:val="00DD0465"/>
    <w:rsid w:val="00E115DE"/>
    <w:rsid w:val="00E52FEE"/>
    <w:rsid w:val="00F2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04A7"/>
  <w15:chartTrackingRefBased/>
  <w15:docId w15:val="{2E9581AF-56F5-4C5B-BCB3-13FAF707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74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0053"/>
  </w:style>
  <w:style w:type="paragraph" w:styleId="Stopka">
    <w:name w:val="footer"/>
    <w:basedOn w:val="Normalny"/>
    <w:link w:val="StopkaZnak"/>
    <w:uiPriority w:val="99"/>
    <w:unhideWhenUsed/>
    <w:rsid w:val="0029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053"/>
  </w:style>
  <w:style w:type="table" w:styleId="Tabela-Siatka">
    <w:name w:val="Table Grid"/>
    <w:basedOn w:val="Standardowy"/>
    <w:uiPriority w:val="39"/>
    <w:rsid w:val="00DD0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1612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Nak</dc:creator>
  <cp:keywords/>
  <dc:description/>
  <cp:lastModifiedBy>Joanna Nak</cp:lastModifiedBy>
  <cp:revision>29</cp:revision>
  <dcterms:created xsi:type="dcterms:W3CDTF">2016-12-28T17:29:00Z</dcterms:created>
  <dcterms:modified xsi:type="dcterms:W3CDTF">2016-12-28T21:15:00Z</dcterms:modified>
</cp:coreProperties>
</file>