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B7DF" w14:textId="79DAE6E6" w:rsidR="00484DDF" w:rsidRPr="00484DDF" w:rsidRDefault="00484DDF" w:rsidP="00484DDF">
      <w:pPr>
        <w:rPr>
          <w:b/>
          <w:sz w:val="20"/>
          <w:szCs w:val="20"/>
          <w:u w:val="single"/>
        </w:rPr>
      </w:pPr>
      <w:r w:rsidRPr="00484DDF">
        <w:rPr>
          <w:b/>
          <w:sz w:val="20"/>
          <w:szCs w:val="20"/>
          <w:u w:val="single"/>
        </w:rPr>
        <w:t>Zadanie</w:t>
      </w:r>
      <w:r w:rsidRPr="00484DDF">
        <w:rPr>
          <w:b/>
          <w:sz w:val="20"/>
          <w:szCs w:val="20"/>
          <w:u w:val="single"/>
        </w:rPr>
        <w:t>:</w:t>
      </w:r>
      <w:r w:rsidRPr="00484DDF">
        <w:rPr>
          <w:b/>
          <w:sz w:val="20"/>
          <w:szCs w:val="20"/>
          <w:u w:val="single"/>
        </w:rPr>
        <w:t xml:space="preserve"> Budżetowanie kosztów działań </w:t>
      </w:r>
    </w:p>
    <w:p w14:paraId="2A4CD0F0" w14:textId="26ACFF2B" w:rsidR="00484DDF" w:rsidRPr="00484DDF" w:rsidRDefault="00484DDF" w:rsidP="00484DDF">
      <w:pPr>
        <w:jc w:val="both"/>
        <w:rPr>
          <w:sz w:val="20"/>
          <w:szCs w:val="20"/>
        </w:rPr>
      </w:pPr>
      <w:r w:rsidRPr="00484DDF">
        <w:rPr>
          <w:sz w:val="20"/>
          <w:szCs w:val="20"/>
        </w:rPr>
        <w:t xml:space="preserve">Rodzinna </w:t>
      </w:r>
      <w:r w:rsidRPr="00484DDF">
        <w:rPr>
          <w:sz w:val="20"/>
          <w:szCs w:val="20"/>
        </w:rPr>
        <w:t>sieć</w:t>
      </w:r>
      <w:r w:rsidRPr="00484DDF">
        <w:rPr>
          <w:sz w:val="20"/>
          <w:szCs w:val="20"/>
        </w:rPr>
        <w:t xml:space="preserve"> supermarketów spożywczych zajmuje się sprzedaż trzech podstawowych grup produktów: produkty świeże, produkty mrożone oraz napoje. Do oceny rentowności  grup towarów oraz zarządzania kosztami wykorzystuje się rachunek kosztów działa</w:t>
      </w:r>
      <w:r>
        <w:rPr>
          <w:sz w:val="20"/>
          <w:szCs w:val="20"/>
        </w:rPr>
        <w:t>ń</w:t>
      </w:r>
      <w:r w:rsidRPr="00484DDF">
        <w:rPr>
          <w:sz w:val="20"/>
          <w:szCs w:val="20"/>
        </w:rPr>
        <w:t xml:space="preserve">. Wyodrębniono działania: </w:t>
      </w:r>
    </w:p>
    <w:p w14:paraId="5FF84261" w14:textId="19A1DEA1" w:rsidR="00484DDF" w:rsidRPr="00A743E5" w:rsidRDefault="00484DDF" w:rsidP="00A743E5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743E5">
        <w:rPr>
          <w:sz w:val="20"/>
          <w:szCs w:val="20"/>
        </w:rPr>
        <w:t>zamawianie towarów, nośnik – liczba zrealizowanych zamówie</w:t>
      </w:r>
      <w:r w:rsidRPr="00A743E5">
        <w:rPr>
          <w:sz w:val="20"/>
          <w:szCs w:val="20"/>
        </w:rPr>
        <w:t>ń</w:t>
      </w:r>
      <w:r w:rsidRPr="00A743E5">
        <w:rPr>
          <w:sz w:val="20"/>
          <w:szCs w:val="20"/>
        </w:rPr>
        <w:t xml:space="preserve"> </w:t>
      </w:r>
    </w:p>
    <w:p w14:paraId="5217701C" w14:textId="30F33523" w:rsidR="00484DDF" w:rsidRPr="00A743E5" w:rsidRDefault="00484DDF" w:rsidP="00A743E5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743E5">
        <w:rPr>
          <w:sz w:val="20"/>
          <w:szCs w:val="20"/>
        </w:rPr>
        <w:t xml:space="preserve">odbiór dostaw, nośnik – liczba zrealizowanych dostaw </w:t>
      </w:r>
    </w:p>
    <w:p w14:paraId="6834B916" w14:textId="27D07478" w:rsidR="00484DDF" w:rsidRPr="00A743E5" w:rsidRDefault="00484DDF" w:rsidP="00A743E5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743E5">
        <w:rPr>
          <w:sz w:val="20"/>
          <w:szCs w:val="20"/>
        </w:rPr>
        <w:t xml:space="preserve">układanie towarów na regałach, nośnik – liczba godzin </w:t>
      </w:r>
    </w:p>
    <w:p w14:paraId="49AD75CE" w14:textId="3858A162" w:rsidR="00484DDF" w:rsidRPr="00A743E5" w:rsidRDefault="00484DDF" w:rsidP="00A743E5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743E5">
        <w:rPr>
          <w:sz w:val="20"/>
          <w:szCs w:val="20"/>
        </w:rPr>
        <w:t xml:space="preserve">obsługa klienta, nośnik – liczba pozycji na paragonie </w:t>
      </w:r>
    </w:p>
    <w:p w14:paraId="1AA143C0" w14:textId="77777777" w:rsidR="00A743E5" w:rsidRPr="00484DDF" w:rsidRDefault="00A743E5" w:rsidP="00A743E5">
      <w:pPr>
        <w:spacing w:after="0" w:line="240" w:lineRule="auto"/>
        <w:rPr>
          <w:sz w:val="20"/>
          <w:szCs w:val="20"/>
        </w:rPr>
      </w:pPr>
    </w:p>
    <w:p w14:paraId="1E8D407F" w14:textId="303483F6" w:rsidR="00484DDF" w:rsidRDefault="00484DDF" w:rsidP="00A743E5">
      <w:pPr>
        <w:jc w:val="both"/>
        <w:rPr>
          <w:sz w:val="20"/>
          <w:szCs w:val="20"/>
        </w:rPr>
      </w:pPr>
      <w:r w:rsidRPr="00484DDF">
        <w:rPr>
          <w:sz w:val="20"/>
          <w:szCs w:val="20"/>
        </w:rPr>
        <w:t>W tabeli przedstawiono rzeczywiste ubiegłoroczne stawki na jednostkę nośnika kosztów działa</w:t>
      </w:r>
      <w:r>
        <w:rPr>
          <w:sz w:val="20"/>
          <w:szCs w:val="20"/>
        </w:rPr>
        <w:t>ń</w:t>
      </w:r>
      <w:r w:rsidRPr="00484DDF">
        <w:rPr>
          <w:sz w:val="20"/>
          <w:szCs w:val="20"/>
        </w:rPr>
        <w:t>. Planuje się zredukowa</w:t>
      </w:r>
      <w:r>
        <w:rPr>
          <w:sz w:val="20"/>
          <w:szCs w:val="20"/>
        </w:rPr>
        <w:t>ć</w:t>
      </w:r>
      <w:r w:rsidRPr="00484DDF">
        <w:rPr>
          <w:sz w:val="20"/>
          <w:szCs w:val="20"/>
        </w:rPr>
        <w:t xml:space="preserve"> jednostkowe koszty niektórych działa</w:t>
      </w:r>
      <w:r>
        <w:rPr>
          <w:sz w:val="20"/>
          <w:szCs w:val="20"/>
        </w:rPr>
        <w:t>ń,</w:t>
      </w:r>
      <w:r w:rsidRPr="00484DDF">
        <w:rPr>
          <w:sz w:val="20"/>
          <w:szCs w:val="20"/>
        </w:rPr>
        <w:t xml:space="preserve"> ale wiadomo, że nastąpi także wzrost  kosztów jednostkowych odbioru dostaw oraz układania na regałach o 10%.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4DDF" w:rsidRPr="00484DDF" w14:paraId="2809C64E" w14:textId="77777777" w:rsidTr="00484DDF">
        <w:tc>
          <w:tcPr>
            <w:tcW w:w="2265" w:type="dxa"/>
          </w:tcPr>
          <w:p w14:paraId="007758C8" w14:textId="590090BE" w:rsidR="00484DDF" w:rsidRPr="00484DDF" w:rsidRDefault="00484DDF" w:rsidP="00484DDF">
            <w:pPr>
              <w:rPr>
                <w:sz w:val="20"/>
                <w:szCs w:val="20"/>
              </w:rPr>
            </w:pPr>
            <w:bookmarkStart w:id="0" w:name="_Hlk530231630"/>
            <w:r>
              <w:rPr>
                <w:sz w:val="20"/>
                <w:szCs w:val="20"/>
              </w:rPr>
              <w:t>P</w:t>
            </w:r>
            <w:r w:rsidRPr="00484DDF">
              <w:rPr>
                <w:sz w:val="20"/>
                <w:szCs w:val="20"/>
              </w:rPr>
              <w:t>ozycja</w:t>
            </w:r>
          </w:p>
        </w:tc>
        <w:tc>
          <w:tcPr>
            <w:tcW w:w="2265" w:type="dxa"/>
          </w:tcPr>
          <w:p w14:paraId="7D95960B" w14:textId="5A76636B" w:rsidR="00484DDF" w:rsidRPr="00484DDF" w:rsidRDefault="00484DDF" w:rsidP="00484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484DDF">
              <w:rPr>
                <w:sz w:val="20"/>
                <w:szCs w:val="20"/>
              </w:rPr>
              <w:t>ośnik kosztów</w:t>
            </w:r>
            <w:r w:rsidRPr="00484DDF">
              <w:rPr>
                <w:sz w:val="20"/>
                <w:szCs w:val="20"/>
              </w:rPr>
              <w:t xml:space="preserve"> działania</w:t>
            </w:r>
          </w:p>
        </w:tc>
        <w:tc>
          <w:tcPr>
            <w:tcW w:w="2266" w:type="dxa"/>
          </w:tcPr>
          <w:p w14:paraId="6EAA1656" w14:textId="57A8B9E4" w:rsidR="00484DDF" w:rsidRPr="00484DDF" w:rsidRDefault="00484DDF" w:rsidP="00484DDF">
            <w:pPr>
              <w:rPr>
                <w:sz w:val="20"/>
                <w:szCs w:val="20"/>
              </w:rPr>
            </w:pPr>
            <w:r w:rsidRPr="00484DDF">
              <w:rPr>
                <w:sz w:val="20"/>
                <w:szCs w:val="20"/>
              </w:rPr>
              <w:t>Rzeczywista stawka w ubiegłym roku</w:t>
            </w:r>
          </w:p>
        </w:tc>
        <w:tc>
          <w:tcPr>
            <w:tcW w:w="2266" w:type="dxa"/>
          </w:tcPr>
          <w:p w14:paraId="0E27CDAB" w14:textId="3C7DAA9F" w:rsidR="00484DDF" w:rsidRPr="00484DDF" w:rsidRDefault="00484DDF" w:rsidP="00484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planowana w następnym roku</w:t>
            </w:r>
            <w:r w:rsidRPr="00484DDF">
              <w:rPr>
                <w:sz w:val="20"/>
                <w:szCs w:val="20"/>
              </w:rPr>
              <w:t xml:space="preserve"> </w:t>
            </w:r>
          </w:p>
        </w:tc>
      </w:tr>
      <w:tr w:rsidR="00484DDF" w14:paraId="481EC695" w14:textId="77777777" w:rsidTr="00484DDF">
        <w:tc>
          <w:tcPr>
            <w:tcW w:w="2265" w:type="dxa"/>
          </w:tcPr>
          <w:p w14:paraId="1A09661F" w14:textId="2DA3B855" w:rsidR="00484DDF" w:rsidRDefault="00484DDF" w:rsidP="00484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Zamawianie towarów</w:t>
            </w:r>
          </w:p>
        </w:tc>
        <w:tc>
          <w:tcPr>
            <w:tcW w:w="2265" w:type="dxa"/>
          </w:tcPr>
          <w:p w14:paraId="759F672F" w14:textId="3EB6C87F" w:rsidR="00484DDF" w:rsidRDefault="00484DDF" w:rsidP="00484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Zamówienie</w:t>
            </w:r>
          </w:p>
        </w:tc>
        <w:tc>
          <w:tcPr>
            <w:tcW w:w="2266" w:type="dxa"/>
          </w:tcPr>
          <w:p w14:paraId="7F46718D" w14:textId="3062F8A9" w:rsidR="00484DDF" w:rsidRDefault="00484DDF" w:rsidP="00484D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266" w:type="dxa"/>
          </w:tcPr>
          <w:p w14:paraId="4C7F3B9D" w14:textId="52756590" w:rsidR="00484DDF" w:rsidRDefault="00484DDF" w:rsidP="00484D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484DDF" w14:paraId="5B427EFB" w14:textId="77777777" w:rsidTr="00484DDF">
        <w:tc>
          <w:tcPr>
            <w:tcW w:w="2265" w:type="dxa"/>
          </w:tcPr>
          <w:p w14:paraId="5FB52615" w14:textId="526B34EB" w:rsidR="00484DDF" w:rsidRDefault="00484DDF" w:rsidP="00484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Odbiór dostaw</w:t>
            </w:r>
          </w:p>
        </w:tc>
        <w:tc>
          <w:tcPr>
            <w:tcW w:w="2265" w:type="dxa"/>
          </w:tcPr>
          <w:p w14:paraId="4382D94F" w14:textId="0EE5EDB7" w:rsidR="00484DDF" w:rsidRDefault="00484DDF" w:rsidP="00484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Dostawa</w:t>
            </w:r>
          </w:p>
        </w:tc>
        <w:tc>
          <w:tcPr>
            <w:tcW w:w="2266" w:type="dxa"/>
          </w:tcPr>
          <w:p w14:paraId="0DD771D6" w14:textId="56762CE5" w:rsidR="00484DDF" w:rsidRDefault="00484DDF" w:rsidP="00484D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6" w:type="dxa"/>
          </w:tcPr>
          <w:p w14:paraId="1D36D2D2" w14:textId="50A17766" w:rsidR="00484DDF" w:rsidRDefault="00484DDF" w:rsidP="00484D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484DDF" w14:paraId="40B910F3" w14:textId="77777777" w:rsidTr="00484DDF">
        <w:tc>
          <w:tcPr>
            <w:tcW w:w="2265" w:type="dxa"/>
          </w:tcPr>
          <w:p w14:paraId="210E41F8" w14:textId="5E3A616B" w:rsidR="00484DDF" w:rsidRDefault="00484DDF" w:rsidP="00484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Układanie na regałach</w:t>
            </w:r>
          </w:p>
        </w:tc>
        <w:tc>
          <w:tcPr>
            <w:tcW w:w="2265" w:type="dxa"/>
          </w:tcPr>
          <w:p w14:paraId="3B059851" w14:textId="04188986" w:rsidR="00484DDF" w:rsidRDefault="00484DDF" w:rsidP="00484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Godzina </w:t>
            </w:r>
          </w:p>
        </w:tc>
        <w:tc>
          <w:tcPr>
            <w:tcW w:w="2266" w:type="dxa"/>
          </w:tcPr>
          <w:p w14:paraId="60B1315E" w14:textId="730A963A" w:rsidR="00484DDF" w:rsidRDefault="00484DDF" w:rsidP="00484D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6" w:type="dxa"/>
          </w:tcPr>
          <w:p w14:paraId="08BFCA1B" w14:textId="6F0F009C" w:rsidR="00484DDF" w:rsidRDefault="00484DDF" w:rsidP="00484D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484DDF" w14:paraId="3EBA67FC" w14:textId="77777777" w:rsidTr="00484DDF">
        <w:tc>
          <w:tcPr>
            <w:tcW w:w="2265" w:type="dxa"/>
          </w:tcPr>
          <w:p w14:paraId="16CC1B63" w14:textId="1E371072" w:rsidR="00484DDF" w:rsidRDefault="00484DDF" w:rsidP="00484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Wsparcie klientów</w:t>
            </w:r>
          </w:p>
        </w:tc>
        <w:tc>
          <w:tcPr>
            <w:tcW w:w="2265" w:type="dxa"/>
          </w:tcPr>
          <w:p w14:paraId="2F436807" w14:textId="2C0295AE" w:rsidR="00484DDF" w:rsidRDefault="00484DDF" w:rsidP="00484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Pozycja na paragonie</w:t>
            </w:r>
          </w:p>
        </w:tc>
        <w:tc>
          <w:tcPr>
            <w:tcW w:w="2266" w:type="dxa"/>
          </w:tcPr>
          <w:p w14:paraId="47FA9DD3" w14:textId="0FEA910D" w:rsidR="00484DDF" w:rsidRDefault="00484DDF" w:rsidP="00484D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2266" w:type="dxa"/>
          </w:tcPr>
          <w:p w14:paraId="748573DA" w14:textId="7AE3CADE" w:rsidR="00484DDF" w:rsidRDefault="00484DDF" w:rsidP="00484D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</w:tr>
      <w:bookmarkEnd w:id="0"/>
    </w:tbl>
    <w:p w14:paraId="03218E85" w14:textId="3EFA28B3" w:rsidR="00484DDF" w:rsidRPr="00484DDF" w:rsidRDefault="00484DDF" w:rsidP="00484DDF">
      <w:pPr>
        <w:rPr>
          <w:sz w:val="20"/>
          <w:szCs w:val="20"/>
        </w:rPr>
      </w:pPr>
    </w:p>
    <w:p w14:paraId="39652EA7" w14:textId="559789E2" w:rsidR="00484DDF" w:rsidRPr="00484DDF" w:rsidRDefault="00484DDF" w:rsidP="00484DDF">
      <w:pPr>
        <w:rPr>
          <w:sz w:val="20"/>
          <w:szCs w:val="20"/>
        </w:rPr>
      </w:pPr>
      <w:r w:rsidRPr="00484DDF">
        <w:rPr>
          <w:sz w:val="20"/>
          <w:szCs w:val="20"/>
        </w:rPr>
        <w:t>Zapotrzebowanie poszczególnych grup produktów na dział</w:t>
      </w:r>
      <w:r>
        <w:rPr>
          <w:sz w:val="20"/>
          <w:szCs w:val="20"/>
        </w:rPr>
        <w:t>ania:</w:t>
      </w:r>
      <w:r w:rsidRPr="00484DDF"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239"/>
        <w:gridCol w:w="1239"/>
        <w:gridCol w:w="1239"/>
        <w:gridCol w:w="1239"/>
      </w:tblGrid>
      <w:tr w:rsidR="00A743E5" w:rsidRPr="00A743E5" w14:paraId="2652BA98" w14:textId="77777777" w:rsidTr="00343552">
        <w:tc>
          <w:tcPr>
            <w:tcW w:w="2122" w:type="dxa"/>
          </w:tcPr>
          <w:p w14:paraId="621437AE" w14:textId="2B43F1CC" w:rsidR="00A743E5" w:rsidRPr="00A743E5" w:rsidRDefault="00A743E5" w:rsidP="00A743E5">
            <w:pPr>
              <w:rPr>
                <w:sz w:val="20"/>
                <w:szCs w:val="20"/>
              </w:rPr>
            </w:pPr>
            <w:r w:rsidRPr="00A743E5">
              <w:rPr>
                <w:sz w:val="20"/>
                <w:szCs w:val="20"/>
              </w:rPr>
              <w:t>Pozycja</w:t>
            </w:r>
          </w:p>
        </w:tc>
        <w:tc>
          <w:tcPr>
            <w:tcW w:w="1984" w:type="dxa"/>
          </w:tcPr>
          <w:p w14:paraId="3CA8EF9E" w14:textId="4440B55A" w:rsidR="00A743E5" w:rsidRPr="00A743E5" w:rsidRDefault="00A743E5" w:rsidP="00A743E5">
            <w:pPr>
              <w:rPr>
                <w:sz w:val="20"/>
                <w:szCs w:val="20"/>
              </w:rPr>
            </w:pPr>
            <w:r w:rsidRPr="00A743E5">
              <w:rPr>
                <w:sz w:val="20"/>
                <w:szCs w:val="20"/>
              </w:rPr>
              <w:t>Nośnik kosztów działania</w:t>
            </w:r>
          </w:p>
        </w:tc>
        <w:tc>
          <w:tcPr>
            <w:tcW w:w="1239" w:type="dxa"/>
          </w:tcPr>
          <w:p w14:paraId="37FD5F55" w14:textId="254EE374" w:rsidR="00A743E5" w:rsidRPr="00A743E5" w:rsidRDefault="00A743E5" w:rsidP="00A74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Produkty świeże</w:t>
            </w:r>
          </w:p>
        </w:tc>
        <w:tc>
          <w:tcPr>
            <w:tcW w:w="1239" w:type="dxa"/>
          </w:tcPr>
          <w:p w14:paraId="0E3F1F0B" w14:textId="2E2DE71E" w:rsidR="00A743E5" w:rsidRPr="00A743E5" w:rsidRDefault="00A743E5" w:rsidP="00A74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Produkty mrożone</w:t>
            </w:r>
          </w:p>
        </w:tc>
        <w:tc>
          <w:tcPr>
            <w:tcW w:w="1239" w:type="dxa"/>
          </w:tcPr>
          <w:p w14:paraId="26969056" w14:textId="4357C525" w:rsidR="00A743E5" w:rsidRPr="00A743E5" w:rsidRDefault="00A743E5" w:rsidP="00A74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Napoje </w:t>
            </w:r>
          </w:p>
        </w:tc>
        <w:tc>
          <w:tcPr>
            <w:tcW w:w="1239" w:type="dxa"/>
          </w:tcPr>
          <w:p w14:paraId="792BF494" w14:textId="07D66763" w:rsidR="00A743E5" w:rsidRPr="00A743E5" w:rsidRDefault="00A743E5" w:rsidP="00A74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A743E5" w:rsidRPr="00A743E5" w14:paraId="4180EEE5" w14:textId="77777777" w:rsidTr="00343552">
        <w:tc>
          <w:tcPr>
            <w:tcW w:w="2122" w:type="dxa"/>
          </w:tcPr>
          <w:p w14:paraId="4ECD1131" w14:textId="689FE0D2" w:rsidR="00A743E5" w:rsidRPr="00A743E5" w:rsidRDefault="00A743E5" w:rsidP="00A743E5">
            <w:pPr>
              <w:rPr>
                <w:sz w:val="20"/>
                <w:szCs w:val="20"/>
              </w:rPr>
            </w:pPr>
            <w:r w:rsidRPr="00A743E5">
              <w:rPr>
                <w:sz w:val="20"/>
                <w:szCs w:val="20"/>
              </w:rPr>
              <w:t>Zamawianie towarów</w:t>
            </w:r>
          </w:p>
        </w:tc>
        <w:tc>
          <w:tcPr>
            <w:tcW w:w="1984" w:type="dxa"/>
          </w:tcPr>
          <w:p w14:paraId="2C195294" w14:textId="017A10F2" w:rsidR="00A743E5" w:rsidRPr="00A743E5" w:rsidRDefault="00A743E5" w:rsidP="00A743E5">
            <w:pPr>
              <w:rPr>
                <w:sz w:val="20"/>
                <w:szCs w:val="20"/>
              </w:rPr>
            </w:pPr>
            <w:r w:rsidRPr="00A743E5">
              <w:rPr>
                <w:sz w:val="20"/>
                <w:szCs w:val="20"/>
              </w:rPr>
              <w:t>Zamówienie</w:t>
            </w:r>
          </w:p>
        </w:tc>
        <w:tc>
          <w:tcPr>
            <w:tcW w:w="1239" w:type="dxa"/>
          </w:tcPr>
          <w:p w14:paraId="6281C012" w14:textId="51E26AF2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39" w:type="dxa"/>
          </w:tcPr>
          <w:p w14:paraId="26B2573F" w14:textId="5916FE90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39" w:type="dxa"/>
          </w:tcPr>
          <w:p w14:paraId="22C9C429" w14:textId="6ED92AE4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39" w:type="dxa"/>
          </w:tcPr>
          <w:p w14:paraId="31771C2E" w14:textId="58CA2343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743E5" w:rsidRPr="00A743E5" w14:paraId="626493CF" w14:textId="77777777" w:rsidTr="00343552">
        <w:tc>
          <w:tcPr>
            <w:tcW w:w="2122" w:type="dxa"/>
          </w:tcPr>
          <w:p w14:paraId="0A59AD66" w14:textId="5880BD97" w:rsidR="00A743E5" w:rsidRPr="00A743E5" w:rsidRDefault="00A743E5" w:rsidP="00A743E5">
            <w:pPr>
              <w:rPr>
                <w:sz w:val="20"/>
                <w:szCs w:val="20"/>
              </w:rPr>
            </w:pPr>
            <w:r w:rsidRPr="00A743E5">
              <w:rPr>
                <w:sz w:val="20"/>
                <w:szCs w:val="20"/>
              </w:rPr>
              <w:t>Odbiór dostaw</w:t>
            </w:r>
          </w:p>
        </w:tc>
        <w:tc>
          <w:tcPr>
            <w:tcW w:w="1984" w:type="dxa"/>
          </w:tcPr>
          <w:p w14:paraId="2D5DCC3E" w14:textId="42E8BFD2" w:rsidR="00A743E5" w:rsidRPr="00A743E5" w:rsidRDefault="00A743E5" w:rsidP="00A743E5">
            <w:pPr>
              <w:rPr>
                <w:sz w:val="20"/>
                <w:szCs w:val="20"/>
              </w:rPr>
            </w:pPr>
            <w:r w:rsidRPr="00A743E5">
              <w:rPr>
                <w:sz w:val="20"/>
                <w:szCs w:val="20"/>
              </w:rPr>
              <w:t>Dostawa</w:t>
            </w:r>
          </w:p>
        </w:tc>
        <w:tc>
          <w:tcPr>
            <w:tcW w:w="1239" w:type="dxa"/>
          </w:tcPr>
          <w:p w14:paraId="0271241E" w14:textId="6BF789EF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39" w:type="dxa"/>
          </w:tcPr>
          <w:p w14:paraId="49835236" w14:textId="03451948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39" w:type="dxa"/>
          </w:tcPr>
          <w:p w14:paraId="4DF5CE1D" w14:textId="2DFF9EB0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39" w:type="dxa"/>
          </w:tcPr>
          <w:p w14:paraId="69F11FF9" w14:textId="2157E339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A743E5" w:rsidRPr="00A743E5" w14:paraId="5FA73501" w14:textId="77777777" w:rsidTr="00343552">
        <w:tc>
          <w:tcPr>
            <w:tcW w:w="2122" w:type="dxa"/>
          </w:tcPr>
          <w:p w14:paraId="47874BCF" w14:textId="5DF639DF" w:rsidR="00A743E5" w:rsidRPr="00A743E5" w:rsidRDefault="00A743E5" w:rsidP="00A743E5">
            <w:pPr>
              <w:rPr>
                <w:sz w:val="20"/>
                <w:szCs w:val="20"/>
              </w:rPr>
            </w:pPr>
            <w:r w:rsidRPr="00A743E5">
              <w:rPr>
                <w:sz w:val="20"/>
                <w:szCs w:val="20"/>
              </w:rPr>
              <w:t>Układanie na regałach</w:t>
            </w:r>
          </w:p>
        </w:tc>
        <w:tc>
          <w:tcPr>
            <w:tcW w:w="1984" w:type="dxa"/>
          </w:tcPr>
          <w:p w14:paraId="2C741559" w14:textId="7613C60F" w:rsidR="00A743E5" w:rsidRPr="00A743E5" w:rsidRDefault="00A743E5" w:rsidP="00A743E5">
            <w:pPr>
              <w:rPr>
                <w:sz w:val="20"/>
                <w:szCs w:val="20"/>
              </w:rPr>
            </w:pPr>
            <w:r w:rsidRPr="00A743E5">
              <w:rPr>
                <w:sz w:val="20"/>
                <w:szCs w:val="20"/>
              </w:rPr>
              <w:t xml:space="preserve">Godzina </w:t>
            </w:r>
          </w:p>
        </w:tc>
        <w:tc>
          <w:tcPr>
            <w:tcW w:w="1239" w:type="dxa"/>
          </w:tcPr>
          <w:p w14:paraId="7C63C64E" w14:textId="6E078E46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239" w:type="dxa"/>
          </w:tcPr>
          <w:p w14:paraId="1ABB8969" w14:textId="40D8EE34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39" w:type="dxa"/>
          </w:tcPr>
          <w:p w14:paraId="27934A5A" w14:textId="65501F7A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39" w:type="dxa"/>
          </w:tcPr>
          <w:p w14:paraId="589823EE" w14:textId="6BFCBF18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5 900</w:t>
            </w:r>
          </w:p>
        </w:tc>
      </w:tr>
      <w:tr w:rsidR="00A743E5" w:rsidRPr="00A743E5" w14:paraId="2850102F" w14:textId="77777777" w:rsidTr="00343552">
        <w:tc>
          <w:tcPr>
            <w:tcW w:w="2122" w:type="dxa"/>
          </w:tcPr>
          <w:p w14:paraId="2CA95582" w14:textId="4A170F0E" w:rsidR="00A743E5" w:rsidRPr="00A743E5" w:rsidRDefault="00A743E5" w:rsidP="00A743E5">
            <w:pPr>
              <w:rPr>
                <w:sz w:val="20"/>
                <w:szCs w:val="20"/>
              </w:rPr>
            </w:pPr>
            <w:r w:rsidRPr="00A743E5">
              <w:rPr>
                <w:sz w:val="20"/>
                <w:szCs w:val="20"/>
              </w:rPr>
              <w:t>Wsparcie klientów</w:t>
            </w:r>
          </w:p>
        </w:tc>
        <w:tc>
          <w:tcPr>
            <w:tcW w:w="1984" w:type="dxa"/>
          </w:tcPr>
          <w:p w14:paraId="77423683" w14:textId="6FA232E5" w:rsidR="00A743E5" w:rsidRPr="00A743E5" w:rsidRDefault="00A743E5" w:rsidP="00A743E5">
            <w:pPr>
              <w:rPr>
                <w:sz w:val="20"/>
                <w:szCs w:val="20"/>
              </w:rPr>
            </w:pPr>
            <w:r w:rsidRPr="00A743E5">
              <w:rPr>
                <w:sz w:val="20"/>
                <w:szCs w:val="20"/>
              </w:rPr>
              <w:t>Pozycja na paragonie</w:t>
            </w:r>
          </w:p>
        </w:tc>
        <w:tc>
          <w:tcPr>
            <w:tcW w:w="1239" w:type="dxa"/>
          </w:tcPr>
          <w:p w14:paraId="42323B12" w14:textId="504E7C68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239" w:type="dxa"/>
          </w:tcPr>
          <w:p w14:paraId="1C110891" w14:textId="05878743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239" w:type="dxa"/>
          </w:tcPr>
          <w:p w14:paraId="54827326" w14:textId="2F98E5D4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239" w:type="dxa"/>
          </w:tcPr>
          <w:p w14:paraId="2B8855CB" w14:textId="58AD82C1" w:rsidR="00A743E5" w:rsidRPr="00A743E5" w:rsidRDefault="00343552" w:rsidP="003435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</w:tr>
    </w:tbl>
    <w:p w14:paraId="161E7EA8" w14:textId="34CB5081" w:rsidR="00484DDF" w:rsidRPr="00484DDF" w:rsidRDefault="00484DDF" w:rsidP="00484DDF">
      <w:pPr>
        <w:rPr>
          <w:sz w:val="20"/>
          <w:szCs w:val="20"/>
        </w:rPr>
      </w:pPr>
    </w:p>
    <w:p w14:paraId="2AEDBC3D" w14:textId="77777777" w:rsidR="00484DDF" w:rsidRPr="00484DDF" w:rsidRDefault="00484DDF" w:rsidP="00343552">
      <w:pPr>
        <w:spacing w:after="0"/>
        <w:rPr>
          <w:sz w:val="20"/>
          <w:szCs w:val="20"/>
        </w:rPr>
      </w:pPr>
      <w:r w:rsidRPr="00484DDF">
        <w:rPr>
          <w:sz w:val="20"/>
          <w:szCs w:val="20"/>
        </w:rPr>
        <w:t xml:space="preserve">Planowane obroty: </w:t>
      </w:r>
    </w:p>
    <w:p w14:paraId="7D5B3564" w14:textId="77777777" w:rsidR="00484DDF" w:rsidRPr="00484DDF" w:rsidRDefault="00484DDF" w:rsidP="00343552">
      <w:pPr>
        <w:spacing w:after="0"/>
        <w:rPr>
          <w:sz w:val="20"/>
          <w:szCs w:val="20"/>
        </w:rPr>
      </w:pPr>
      <w:r w:rsidRPr="00484DDF">
        <w:rPr>
          <w:sz w:val="20"/>
          <w:szCs w:val="20"/>
        </w:rPr>
        <w:t xml:space="preserve">- produkty świeże – 800 000 zł przy marży 40% </w:t>
      </w:r>
    </w:p>
    <w:p w14:paraId="2F1C373D" w14:textId="77777777" w:rsidR="00484DDF" w:rsidRPr="00484DDF" w:rsidRDefault="00484DDF" w:rsidP="00343552">
      <w:pPr>
        <w:spacing w:after="0"/>
        <w:rPr>
          <w:sz w:val="20"/>
          <w:szCs w:val="20"/>
        </w:rPr>
      </w:pPr>
      <w:r w:rsidRPr="00484DDF">
        <w:rPr>
          <w:sz w:val="20"/>
          <w:szCs w:val="20"/>
        </w:rPr>
        <w:t xml:space="preserve">- produkty mrożone – 200 000 zł przy marży 20% </w:t>
      </w:r>
    </w:p>
    <w:p w14:paraId="687FE704" w14:textId="77777777" w:rsidR="00484DDF" w:rsidRPr="00484DDF" w:rsidRDefault="00484DDF" w:rsidP="00343552">
      <w:pPr>
        <w:spacing w:after="0"/>
        <w:rPr>
          <w:sz w:val="20"/>
          <w:szCs w:val="20"/>
        </w:rPr>
      </w:pPr>
      <w:r w:rsidRPr="00484DDF">
        <w:rPr>
          <w:sz w:val="20"/>
          <w:szCs w:val="20"/>
        </w:rPr>
        <w:t xml:space="preserve">- napoje – 400 000 zł przy marży 20% </w:t>
      </w:r>
    </w:p>
    <w:p w14:paraId="1D49BD96" w14:textId="12278278" w:rsidR="003D454D" w:rsidRPr="00484DDF" w:rsidRDefault="00343552" w:rsidP="00484DDF">
      <w:pPr>
        <w:rPr>
          <w:sz w:val="20"/>
          <w:szCs w:val="20"/>
        </w:rPr>
      </w:pPr>
      <w:r>
        <w:rPr>
          <w:sz w:val="20"/>
          <w:szCs w:val="20"/>
        </w:rPr>
        <w:t xml:space="preserve">Należy </w:t>
      </w:r>
      <w:r w:rsidR="00484DDF" w:rsidRPr="00484DDF">
        <w:rPr>
          <w:sz w:val="20"/>
          <w:szCs w:val="20"/>
        </w:rPr>
        <w:t>sporządzi</w:t>
      </w:r>
      <w:r>
        <w:rPr>
          <w:sz w:val="20"/>
          <w:szCs w:val="20"/>
        </w:rPr>
        <w:t>ć</w:t>
      </w:r>
      <w:r w:rsidR="00484DDF" w:rsidRPr="00484DDF">
        <w:rPr>
          <w:sz w:val="20"/>
          <w:szCs w:val="20"/>
        </w:rPr>
        <w:t xml:space="preserve"> budżet kosztów działa</w:t>
      </w:r>
      <w:r>
        <w:rPr>
          <w:sz w:val="20"/>
          <w:szCs w:val="20"/>
        </w:rPr>
        <w:t>ń</w:t>
      </w:r>
      <w:bookmarkStart w:id="1" w:name="_GoBack"/>
      <w:bookmarkEnd w:id="1"/>
      <w:r w:rsidR="00484DDF" w:rsidRPr="00484DDF">
        <w:rPr>
          <w:sz w:val="20"/>
          <w:szCs w:val="20"/>
        </w:rPr>
        <w:t xml:space="preserve"> oraz analizę rentowności poszczególnych towarów.</w:t>
      </w:r>
    </w:p>
    <w:sectPr w:rsidR="003D454D" w:rsidRPr="0048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F61C3"/>
    <w:multiLevelType w:val="hybridMultilevel"/>
    <w:tmpl w:val="8EEA0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57"/>
    <w:rsid w:val="00343552"/>
    <w:rsid w:val="003D454D"/>
    <w:rsid w:val="00484DDF"/>
    <w:rsid w:val="007F0ABB"/>
    <w:rsid w:val="00A743E5"/>
    <w:rsid w:val="00F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C81D"/>
  <w15:chartTrackingRefBased/>
  <w15:docId w15:val="{7BBB6C09-854C-4A3D-882B-DDBE0DD5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4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</cp:lastModifiedBy>
  <cp:revision>3</cp:revision>
  <dcterms:created xsi:type="dcterms:W3CDTF">2018-11-17T14:16:00Z</dcterms:created>
  <dcterms:modified xsi:type="dcterms:W3CDTF">2018-11-17T14:32:00Z</dcterms:modified>
</cp:coreProperties>
</file>