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54D" w:rsidRPr="008C38E4" w:rsidRDefault="00FD1706">
      <w:pPr>
        <w:rPr>
          <w:sz w:val="32"/>
          <w:szCs w:val="32"/>
        </w:rPr>
      </w:pPr>
      <w:r w:rsidRPr="008C38E4">
        <w:rPr>
          <w:sz w:val="32"/>
          <w:szCs w:val="32"/>
        </w:rPr>
        <w:t>Obrót materiałowy</w:t>
      </w:r>
    </w:p>
    <w:p w:rsidR="004771F9" w:rsidRDefault="008C38E4" w:rsidP="008C38E4">
      <w:pPr>
        <w:jc w:val="both"/>
      </w:pPr>
      <w:r w:rsidRPr="008C38E4">
        <w:rPr>
          <w:b/>
        </w:rPr>
        <w:t>Materiały</w:t>
      </w:r>
      <w:r>
        <w:t xml:space="preserve"> – to rzeczowe składniki majątku obrotowego, zakupione lub wytworzone we własnym zakresie, które są przeznaczone do zużycia w ciągu 12 m-cy od dnia bilansowego lub w ciągu normalnego cyklu produkcyjnego dla danej działalności, jeśli trwa on dłużej niż 12 m-cy. </w:t>
      </w:r>
    </w:p>
    <w:p w:rsidR="00FD1706" w:rsidRDefault="004771F9" w:rsidP="008C38E4">
      <w:pPr>
        <w:jc w:val="both"/>
      </w:pPr>
      <w:r>
        <w:t xml:space="preserve">Materiały nie są jednorodną grupą, gdyż zalicza się do nich zarówno surowce do produkcji, jak </w:t>
      </w:r>
      <w:r w:rsidR="00AC15C1">
        <w:t xml:space="preserve">                               </w:t>
      </w:r>
      <w:r>
        <w:t>i materiały niezbędne do stworzenia warunków prowadzenia działalności, np. paliwo, części zamienne do maszyn i urządzeń, opakowania, materiały biurowe.</w:t>
      </w:r>
    </w:p>
    <w:p w:rsidR="00E6027C" w:rsidRDefault="00E6027C" w:rsidP="008C38E4">
      <w:pPr>
        <w:jc w:val="both"/>
      </w:pPr>
      <w:r>
        <w:t>Obrót materiałami nabytymi od kontrahentów obejmuje 3 fazy:</w:t>
      </w:r>
    </w:p>
    <w:p w:rsidR="00E6027C" w:rsidRDefault="00E6027C" w:rsidP="00E6027C">
      <w:pPr>
        <w:pStyle w:val="Akapitzlist"/>
        <w:numPr>
          <w:ilvl w:val="0"/>
          <w:numId w:val="2"/>
        </w:numPr>
        <w:jc w:val="both"/>
      </w:pPr>
      <w:r>
        <w:t>zakup od dostawców,</w:t>
      </w:r>
    </w:p>
    <w:p w:rsidR="00E6027C" w:rsidRDefault="00E6027C" w:rsidP="00E6027C">
      <w:pPr>
        <w:pStyle w:val="Akapitzlist"/>
        <w:numPr>
          <w:ilvl w:val="0"/>
          <w:numId w:val="2"/>
        </w:numPr>
        <w:jc w:val="both"/>
      </w:pPr>
      <w:r>
        <w:t>składowanie w magazynie lub na składowiskach,</w:t>
      </w:r>
    </w:p>
    <w:p w:rsidR="00E6027C" w:rsidRDefault="00E6027C" w:rsidP="00E6027C">
      <w:pPr>
        <w:pStyle w:val="Akapitzlist"/>
        <w:numPr>
          <w:ilvl w:val="0"/>
          <w:numId w:val="2"/>
        </w:numPr>
        <w:jc w:val="both"/>
      </w:pPr>
      <w:r>
        <w:t>zużycie do produkcji lub na cele ogólne.</w:t>
      </w:r>
    </w:p>
    <w:p w:rsidR="00B158C9" w:rsidRDefault="00B158C9" w:rsidP="00B158C9">
      <w:pPr>
        <w:jc w:val="both"/>
      </w:pPr>
      <w:r>
        <w:t>W niektórych jednostkach gospodarczych zakupione materiały nie podlegają składowaniu, lecz są wydawane bezpośrednio do zużycia, co oznacza, że nie występuje 2 faza obrotu, a tym samym nie prowadzi się ewidencji materiałów na składzie.</w:t>
      </w:r>
    </w:p>
    <w:p w:rsidR="00224CE9" w:rsidRDefault="00224CE9" w:rsidP="00B158C9">
      <w:pPr>
        <w:jc w:val="both"/>
      </w:pPr>
      <w:r>
        <w:t>Rodzaje ewidencji materiałów:</w:t>
      </w:r>
    </w:p>
    <w:p w:rsidR="00224CE9" w:rsidRDefault="00224CE9" w:rsidP="00224CE9">
      <w:pPr>
        <w:pStyle w:val="Akapitzlist"/>
        <w:numPr>
          <w:ilvl w:val="0"/>
          <w:numId w:val="3"/>
        </w:numPr>
        <w:jc w:val="both"/>
      </w:pPr>
      <w:r w:rsidRPr="00224CE9">
        <w:rPr>
          <w:u w:val="single"/>
        </w:rPr>
        <w:t>ilościowa</w:t>
      </w:r>
      <w:r>
        <w:t xml:space="preserve"> – prowadzona w jednostkach naturalnych przez osoby materialnie odpowiedzialne,</w:t>
      </w:r>
    </w:p>
    <w:p w:rsidR="00224CE9" w:rsidRDefault="00224CE9" w:rsidP="00224CE9">
      <w:pPr>
        <w:pStyle w:val="Akapitzlist"/>
        <w:numPr>
          <w:ilvl w:val="0"/>
          <w:numId w:val="3"/>
        </w:numPr>
        <w:jc w:val="both"/>
      </w:pPr>
      <w:r w:rsidRPr="00224CE9">
        <w:rPr>
          <w:u w:val="single"/>
        </w:rPr>
        <w:t>ilościowo-wartościowa</w:t>
      </w:r>
      <w:r>
        <w:t xml:space="preserve"> – prowadzona w dziale księgowości na kontach księgi pomocniczej,</w:t>
      </w:r>
    </w:p>
    <w:p w:rsidR="00224CE9" w:rsidRDefault="00224CE9" w:rsidP="00224CE9">
      <w:pPr>
        <w:pStyle w:val="Akapitzlist"/>
        <w:numPr>
          <w:ilvl w:val="0"/>
          <w:numId w:val="3"/>
        </w:numPr>
        <w:jc w:val="both"/>
      </w:pPr>
      <w:r w:rsidRPr="00224CE9">
        <w:rPr>
          <w:u w:val="single"/>
        </w:rPr>
        <w:t>wartościowa</w:t>
      </w:r>
      <w:r>
        <w:t xml:space="preserve"> – prowadzona w dziale księgowości na koncie syntetycznym Materiały.</w:t>
      </w:r>
    </w:p>
    <w:p w:rsidR="00A32277" w:rsidRDefault="00A32277" w:rsidP="00A32277">
      <w:pPr>
        <w:jc w:val="both"/>
      </w:pPr>
      <w:r>
        <w:t>Wycena materiałów przeprowadzana jest przynajmniej na moment:</w:t>
      </w:r>
    </w:p>
    <w:p w:rsidR="00A32277" w:rsidRDefault="00A32277" w:rsidP="00A32277">
      <w:pPr>
        <w:pStyle w:val="Akapitzlist"/>
        <w:numPr>
          <w:ilvl w:val="0"/>
          <w:numId w:val="4"/>
        </w:numPr>
        <w:jc w:val="both"/>
      </w:pPr>
      <w:r>
        <w:t>przyjęcia materiałów na stan jednostki,</w:t>
      </w:r>
    </w:p>
    <w:p w:rsidR="00A32277" w:rsidRDefault="00A32277" w:rsidP="00A32277">
      <w:pPr>
        <w:pStyle w:val="Akapitzlist"/>
        <w:numPr>
          <w:ilvl w:val="0"/>
          <w:numId w:val="4"/>
        </w:numPr>
        <w:jc w:val="both"/>
      </w:pPr>
      <w:r>
        <w:t>rozchodu materiałów (np. wydanie do zużycia),</w:t>
      </w:r>
    </w:p>
    <w:p w:rsidR="00A32277" w:rsidRDefault="00A32277" w:rsidP="00A32277">
      <w:pPr>
        <w:pStyle w:val="Akapitzlist"/>
        <w:numPr>
          <w:ilvl w:val="0"/>
          <w:numId w:val="4"/>
        </w:numPr>
        <w:jc w:val="both"/>
      </w:pPr>
      <w:r>
        <w:t>sporządzania sprawozdania finansowego.</w:t>
      </w:r>
    </w:p>
    <w:p w:rsidR="009918CC" w:rsidRDefault="009918CC" w:rsidP="009918CC">
      <w:pPr>
        <w:jc w:val="both"/>
      </w:pPr>
      <w:r>
        <w:t>Przyjęty sposób wyceny wstępnej przy przyjęciu materiałów na stan jednostki gospodarczej ma bezpośredni wpływ na wycenę rozchodu oraz wycenę bilansową materiałów. UoR dopuszcza wycenę materiałów przy przyjęciu wg:</w:t>
      </w:r>
    </w:p>
    <w:p w:rsidR="009918CC" w:rsidRDefault="009918CC" w:rsidP="009918CC">
      <w:pPr>
        <w:pStyle w:val="Akapitzlist"/>
        <w:numPr>
          <w:ilvl w:val="0"/>
          <w:numId w:val="6"/>
        </w:numPr>
        <w:jc w:val="both"/>
      </w:pPr>
      <w:r>
        <w:t>ceny rzeczywistej na poziomie (zmienna cena ewidencyjna):</w:t>
      </w:r>
    </w:p>
    <w:p w:rsidR="009918CC" w:rsidRDefault="009918CC" w:rsidP="009918CC">
      <w:pPr>
        <w:pStyle w:val="Akapitzlist"/>
        <w:numPr>
          <w:ilvl w:val="1"/>
          <w:numId w:val="6"/>
        </w:numPr>
        <w:jc w:val="both"/>
      </w:pPr>
      <w:r>
        <w:t>ceny zakupu,</w:t>
      </w:r>
    </w:p>
    <w:p w:rsidR="009918CC" w:rsidRDefault="009918CC" w:rsidP="009918CC">
      <w:pPr>
        <w:pStyle w:val="Akapitzlist"/>
        <w:numPr>
          <w:ilvl w:val="1"/>
          <w:numId w:val="6"/>
        </w:numPr>
        <w:jc w:val="both"/>
      </w:pPr>
      <w:r>
        <w:t>ceny nabycia,</w:t>
      </w:r>
    </w:p>
    <w:p w:rsidR="009918CC" w:rsidRDefault="009918CC" w:rsidP="009918CC">
      <w:pPr>
        <w:pStyle w:val="Akapitzlist"/>
        <w:numPr>
          <w:ilvl w:val="1"/>
          <w:numId w:val="6"/>
        </w:numPr>
        <w:jc w:val="both"/>
      </w:pPr>
      <w:r>
        <w:t>kosztu wytworzenia,</w:t>
      </w:r>
    </w:p>
    <w:p w:rsidR="009918CC" w:rsidRDefault="009918CC" w:rsidP="009918CC">
      <w:pPr>
        <w:pStyle w:val="Akapitzlist"/>
        <w:numPr>
          <w:ilvl w:val="0"/>
          <w:numId w:val="6"/>
        </w:numPr>
        <w:jc w:val="both"/>
      </w:pPr>
      <w:r>
        <w:t>stałej ceny ewidencyjnej (ceny przyjętej do ewidencji).</w:t>
      </w:r>
    </w:p>
    <w:p w:rsidR="009918CC" w:rsidRDefault="009918CC" w:rsidP="009918CC">
      <w:pPr>
        <w:jc w:val="both"/>
      </w:pPr>
      <w:r w:rsidRPr="003F202F">
        <w:rPr>
          <w:u w:val="single"/>
        </w:rPr>
        <w:t>Rzeczywista cena zakupu</w:t>
      </w:r>
      <w:r>
        <w:t xml:space="preserve"> – cena wynikająca z faktury dostawcy, obejmująca kwotę należną sprzedającemu bez podlegających odliczeniu podatku VAT oraz podatku akcyzowego</w:t>
      </w:r>
      <w:r w:rsidR="003F202F">
        <w:t>, a w przypadku importu powiększona o obciążenia o charakterze publicznoprawnym.</w:t>
      </w:r>
    </w:p>
    <w:p w:rsidR="003F202F" w:rsidRDefault="003F202F" w:rsidP="009918CC">
      <w:pPr>
        <w:jc w:val="both"/>
      </w:pPr>
      <w:r w:rsidRPr="003F202F">
        <w:rPr>
          <w:u w:val="single"/>
        </w:rPr>
        <w:t>Rzeczywista cena nabycia</w:t>
      </w:r>
      <w:r>
        <w:t xml:space="preserve"> – to cena zakupu powiększona o koszty bezpośrednio związane z zakupem materiałów, łącznie z kosztami transportu, załadunku, rozładunku, składowania lub wprowadzenia do obrotu, a obniżona o upusty, rabaty i odzyski.</w:t>
      </w:r>
    </w:p>
    <w:p w:rsidR="00C60074" w:rsidRDefault="00371350" w:rsidP="009918CC">
      <w:pPr>
        <w:jc w:val="both"/>
      </w:pPr>
      <w:r w:rsidRPr="00D855B4">
        <w:rPr>
          <w:u w:val="single"/>
        </w:rPr>
        <w:t>Koszt wytworzenia</w:t>
      </w:r>
      <w:r>
        <w:t xml:space="preserve"> </w:t>
      </w:r>
      <w:r w:rsidR="00AD6486">
        <w:t>–</w:t>
      </w:r>
      <w:r>
        <w:t xml:space="preserve"> </w:t>
      </w:r>
      <w:r w:rsidR="00AD6486">
        <w:t xml:space="preserve">to wartość kosztów dających się bezpośrednio przypisać do wytworzonych materiałów oraz </w:t>
      </w:r>
      <w:r w:rsidR="008A2063">
        <w:t>uzasadniona</w:t>
      </w:r>
      <w:r w:rsidR="00AD6486">
        <w:t xml:space="preserve"> część kosztów pośrednio związanych z produkcją danych materiałów</w:t>
      </w:r>
      <w:r w:rsidR="008C417B">
        <w:t xml:space="preserve">. Uzasadniona część kosztów pośrednich to zmienne koszty pośrednie produkcji materiałów oraz część stałych </w:t>
      </w:r>
      <w:r w:rsidR="00973130">
        <w:t xml:space="preserve">kosztów pośrednich produkcji, które odpowiadają normalnemu wykorzystaniu zdolności </w:t>
      </w:r>
      <w:r w:rsidR="00973130">
        <w:lastRenderedPageBreak/>
        <w:t xml:space="preserve">produkcyjnych. </w:t>
      </w:r>
      <w:r w:rsidR="00A16EF3">
        <w:t>Za n</w:t>
      </w:r>
      <w:r w:rsidR="00973130">
        <w:t>ormalny poziom wykorzystania zdolności produkcyjnych</w:t>
      </w:r>
      <w:r w:rsidR="00A16EF3">
        <w:t xml:space="preserve"> uznaje się przeciętną, zgodną z oczekiwaniami w typowych warunkach, wielkość produkcji za dną liczbę okresów lub sezonów, przy uwzględnieniu planowanych remontów.</w:t>
      </w:r>
      <w:r>
        <w:t xml:space="preserve"> </w:t>
      </w:r>
    </w:p>
    <w:p w:rsidR="009B2B54" w:rsidRDefault="00D855B4" w:rsidP="009918CC">
      <w:pPr>
        <w:jc w:val="both"/>
      </w:pPr>
      <w:r w:rsidRPr="00D855B4">
        <w:rPr>
          <w:u w:val="single"/>
        </w:rPr>
        <w:t>Stała cena ewidencyjna</w:t>
      </w:r>
      <w:r>
        <w:t xml:space="preserve"> – jest to cena zakupu lub nabycia ustalona przez jednostkę na stałym poziomie dla dłuższego okresu (najczęściej rok obrotowy). Jako podstawę jej ustalenia wykorzystuje się zwykle średnie ceny z poprzedniego okresu, ceny stosowane przez głównych dostawców lub ceny przewidywane. </w:t>
      </w:r>
    </w:p>
    <w:p w:rsidR="00135964" w:rsidRDefault="009B2B54" w:rsidP="009918CC">
      <w:pPr>
        <w:jc w:val="both"/>
      </w:pPr>
      <w:r>
        <w:t xml:space="preserve">W praktyce gospodarczej przy przyjęciu materiałów na stan jednostki najczęściej stosowana jest cena zakupu lub cena nabycia. </w:t>
      </w:r>
      <w:r w:rsidR="00241162">
        <w:t>Natomiast stała cena ewidencyjna jest najczęściej wykorzystywana                                 w przypadkach specyficznej działalności, np.</w:t>
      </w:r>
      <w:r w:rsidR="009A1900">
        <w:t xml:space="preserve"> elektrociepłownia.</w:t>
      </w:r>
      <w:r w:rsidR="00D855B4">
        <w:t xml:space="preserve"> </w:t>
      </w:r>
      <w:r w:rsidR="009A1900">
        <w:t>Stałe ceny ewidencyjne nie są zalecane w jednostkach gospodarczych, w których jest bardzo duża ilość asortymentów materiałów. Przeliczanie stałych cen ewidencyjnych na ceny rzeczywiste byłoby bardzo skomplikowane.</w:t>
      </w:r>
    </w:p>
    <w:p w:rsidR="00135964" w:rsidRDefault="00135964" w:rsidP="009918CC">
      <w:pPr>
        <w:jc w:val="both"/>
      </w:pPr>
      <w:r>
        <w:t>Metody wyceny rozchodu materiałów:</w:t>
      </w:r>
    </w:p>
    <w:p w:rsidR="00D855B4" w:rsidRDefault="00135964" w:rsidP="00135964">
      <w:pPr>
        <w:pStyle w:val="Akapitzlist"/>
        <w:numPr>
          <w:ilvl w:val="0"/>
          <w:numId w:val="7"/>
        </w:numPr>
        <w:jc w:val="both"/>
      </w:pPr>
      <w:r>
        <w:t>według cen przeciętnych,</w:t>
      </w:r>
    </w:p>
    <w:p w:rsidR="00135964" w:rsidRDefault="00135964" w:rsidP="00135964">
      <w:pPr>
        <w:pStyle w:val="Akapitzlist"/>
        <w:numPr>
          <w:ilvl w:val="0"/>
          <w:numId w:val="7"/>
        </w:numPr>
        <w:jc w:val="both"/>
      </w:pPr>
      <w:r>
        <w:t>FIFO (pierwsze przyszło - pierwsze wyszło),</w:t>
      </w:r>
    </w:p>
    <w:p w:rsidR="00135964" w:rsidRDefault="00135964" w:rsidP="00135964">
      <w:pPr>
        <w:pStyle w:val="Akapitzlist"/>
        <w:numPr>
          <w:ilvl w:val="0"/>
          <w:numId w:val="7"/>
        </w:numPr>
        <w:jc w:val="both"/>
      </w:pPr>
      <w:r>
        <w:t>LIFO (ostatnie przyszło – pierwsze wyszło),</w:t>
      </w:r>
    </w:p>
    <w:p w:rsidR="00135964" w:rsidRDefault="00135964" w:rsidP="00135964">
      <w:pPr>
        <w:pStyle w:val="Akapitzlist"/>
        <w:numPr>
          <w:ilvl w:val="0"/>
          <w:numId w:val="7"/>
        </w:numPr>
        <w:jc w:val="both"/>
      </w:pPr>
      <w:r>
        <w:t>szczegółowa identyfikacja rzeczywistych cen (kosztów),</w:t>
      </w:r>
    </w:p>
    <w:p w:rsidR="00135964" w:rsidRDefault="00135964" w:rsidP="00135964">
      <w:pPr>
        <w:pStyle w:val="Akapitzlist"/>
        <w:numPr>
          <w:ilvl w:val="0"/>
          <w:numId w:val="7"/>
        </w:numPr>
        <w:jc w:val="both"/>
      </w:pPr>
      <w:r>
        <w:t>stała cena ewidencyjna.</w:t>
      </w:r>
    </w:p>
    <w:p w:rsidR="008557BA" w:rsidRDefault="00363110" w:rsidP="008557BA">
      <w:pPr>
        <w:jc w:val="both"/>
      </w:pPr>
      <w:r w:rsidRPr="00BC28A6">
        <w:rPr>
          <w:u w:val="single"/>
        </w:rPr>
        <w:t>Ceny przeciętne</w:t>
      </w:r>
      <w:r>
        <w:t xml:space="preserve"> – wartość rozchodu ustalana w wysokości średniej ważonej cen </w:t>
      </w:r>
      <w:r w:rsidR="00C8141F">
        <w:t>danego materiału po każdej dostawie.</w:t>
      </w:r>
    </w:p>
    <w:p w:rsidR="00C8141F" w:rsidRDefault="00C8141F" w:rsidP="008557BA">
      <w:pPr>
        <w:jc w:val="both"/>
      </w:pPr>
      <w:r w:rsidRPr="00BC28A6">
        <w:rPr>
          <w:u w:val="single"/>
        </w:rPr>
        <w:t>FIFO</w:t>
      </w:r>
      <w:r>
        <w:t xml:space="preserve"> – </w:t>
      </w:r>
      <w:r w:rsidR="00E645A3">
        <w:t>(</w:t>
      </w:r>
      <w:r>
        <w:t>metoda ceny najwcześniejszej</w:t>
      </w:r>
      <w:r w:rsidR="00E645A3">
        <w:t>)</w:t>
      </w:r>
      <w:r>
        <w:t xml:space="preserve"> przyjmuje się, że rozchód materiałów wycenia się kolejno po cenach (kosztach) materiałów, które jednostka najwcześniej nabyła (wytworzyła). </w:t>
      </w:r>
    </w:p>
    <w:p w:rsidR="00E645A3" w:rsidRDefault="00E645A3" w:rsidP="008557BA">
      <w:pPr>
        <w:jc w:val="both"/>
      </w:pPr>
      <w:r w:rsidRPr="00BC28A6">
        <w:rPr>
          <w:u w:val="single"/>
        </w:rPr>
        <w:t>LIFO</w:t>
      </w:r>
      <w:r>
        <w:t xml:space="preserve"> – (metoda ceny najpóźniejszej) przyjmuje się, że rozchód materiałów wycenia się kolejno po cenach (kosztach) materiałów, które jednostka najpóźniej</w:t>
      </w:r>
      <w:r w:rsidRPr="00E645A3">
        <w:t xml:space="preserve"> </w:t>
      </w:r>
      <w:r>
        <w:t>nabyła</w:t>
      </w:r>
      <w:r>
        <w:t xml:space="preserve"> (wytworzyła).</w:t>
      </w:r>
    </w:p>
    <w:p w:rsidR="00E645A3" w:rsidRDefault="00E645A3" w:rsidP="008557BA">
      <w:pPr>
        <w:jc w:val="both"/>
      </w:pPr>
      <w:r w:rsidRPr="00BC28A6">
        <w:rPr>
          <w:u w:val="single"/>
        </w:rPr>
        <w:t>Szczegółowa identyfikacja rzeczywistych cen (kosztów)</w:t>
      </w:r>
      <w:r>
        <w:t xml:space="preserve"> – w tej metodzie do wyceny rozchodu materiałów brane są te, które dotyczą ściśle określonych przedsięwzięć, niezależnie od daty ich zakupu lub wytworzenia. </w:t>
      </w:r>
    </w:p>
    <w:p w:rsidR="00E645A3" w:rsidRDefault="00E645A3" w:rsidP="008557BA">
      <w:pPr>
        <w:jc w:val="both"/>
      </w:pPr>
      <w:r w:rsidRPr="00BC28A6">
        <w:rPr>
          <w:u w:val="single"/>
        </w:rPr>
        <w:t>Stała cena ewidencyjna</w:t>
      </w:r>
      <w:r>
        <w:t xml:space="preserve"> – wartość takiego rozchodu musi być skorygowana o odchylenia przypadające na rozchodowane materiały. </w:t>
      </w:r>
    </w:p>
    <w:p w:rsidR="00413E27" w:rsidRDefault="00413E27" w:rsidP="00413E27">
      <w:pPr>
        <w:jc w:val="both"/>
      </w:pPr>
      <w:r>
        <w:t xml:space="preserve">Wycenę bilansową materiałów przeprowadza się wg cen nabycia lub kosztów wytworzenia nie wyższych od cen ich sprzedaży netto na dzień bilansowy. Cena sprzedaży netto materiałów to możliwa do uzyskania na dzień bilansowy cena sprzedaży materiałów, bez podatku VAT, podatku akcyzowego, pomniejszona o rabaty, opusty i inne podobne zmniejszenia oraz koszty związane z przystosowaniem materiałów do sprzedaży i dokonaniem tej sprzedaży, a powiększona o należną dotację przedmiotową. </w:t>
      </w:r>
    </w:p>
    <w:p w:rsidR="00413E27" w:rsidRDefault="00413E27" w:rsidP="00413E27">
      <w:pPr>
        <w:jc w:val="both"/>
      </w:pPr>
      <w:r>
        <w:t xml:space="preserve">Jeżeli istnieje duże prawdopodobieństwo, ze dany zapas materiałów nie przyniesie w przyszłości                      w znaczącej części lub całości przewidywanych korzyści ekonomicznych (np. w wyniku zmiany profilu produkcji, zaniechania produkcji), to ma miejsce </w:t>
      </w:r>
      <w:r w:rsidRPr="00D52403">
        <w:rPr>
          <w:u w:val="single"/>
        </w:rPr>
        <w:t>trwała utrata wartości materiałów</w:t>
      </w:r>
      <w:r>
        <w:t>.</w:t>
      </w:r>
    </w:p>
    <w:p w:rsidR="00413E27" w:rsidRDefault="00413E27" w:rsidP="00413E27">
      <w:pPr>
        <w:jc w:val="both"/>
      </w:pPr>
      <w:r>
        <w:t xml:space="preserve">Dokonuje się wówczas odpisu aktualizującego, doprowadzającego wartość materiałów wynikającą                   z ksiąg rachunkowych do ceny sprzedaży netto, a w przypadku jej braku do ustalonej w inny sposób wartości godziwej. Odpisy aktualizujące wartość materiałów dokonane w związku z utratą ich wartości zalicza się do pozostałych kosztów operacyjnych. </w:t>
      </w:r>
    </w:p>
    <w:p w:rsidR="007040A0" w:rsidRDefault="007040A0" w:rsidP="008557BA">
      <w:pPr>
        <w:jc w:val="both"/>
      </w:pPr>
      <w:r>
        <w:lastRenderedPageBreak/>
        <w:t>Wycena obrotu materiałowego w ciągu roku z zastosowaniem stałej ceny ewidencyjnej</w:t>
      </w:r>
    </w:p>
    <w:tbl>
      <w:tblPr>
        <w:tblStyle w:val="Tabela-Siatka"/>
        <w:tblW w:w="0" w:type="auto"/>
        <w:tblLook w:val="04A0" w:firstRow="1" w:lastRow="0" w:firstColumn="1" w:lastColumn="0" w:noHBand="0" w:noVBand="1"/>
      </w:tblPr>
      <w:tblGrid>
        <w:gridCol w:w="4531"/>
        <w:gridCol w:w="4531"/>
      </w:tblGrid>
      <w:tr w:rsidR="007040A0" w:rsidRPr="00413E27" w:rsidTr="007040A0">
        <w:tc>
          <w:tcPr>
            <w:tcW w:w="4531" w:type="dxa"/>
          </w:tcPr>
          <w:p w:rsidR="007040A0" w:rsidRPr="00413E27" w:rsidRDefault="007040A0" w:rsidP="00047471">
            <w:pPr>
              <w:jc w:val="center"/>
              <w:rPr>
                <w:b/>
                <w:sz w:val="18"/>
                <w:szCs w:val="18"/>
              </w:rPr>
            </w:pPr>
            <w:r w:rsidRPr="00413E27">
              <w:rPr>
                <w:b/>
                <w:sz w:val="18"/>
                <w:szCs w:val="18"/>
              </w:rPr>
              <w:t>Wycena przychodu</w:t>
            </w:r>
          </w:p>
        </w:tc>
        <w:tc>
          <w:tcPr>
            <w:tcW w:w="4531" w:type="dxa"/>
          </w:tcPr>
          <w:p w:rsidR="007040A0" w:rsidRPr="00413E27" w:rsidRDefault="007040A0" w:rsidP="00047471">
            <w:pPr>
              <w:jc w:val="center"/>
              <w:rPr>
                <w:b/>
                <w:sz w:val="18"/>
                <w:szCs w:val="18"/>
              </w:rPr>
            </w:pPr>
            <w:r w:rsidRPr="00413E27">
              <w:rPr>
                <w:b/>
                <w:sz w:val="18"/>
                <w:szCs w:val="18"/>
              </w:rPr>
              <w:t>Wycena rozchodu</w:t>
            </w:r>
          </w:p>
        </w:tc>
      </w:tr>
      <w:tr w:rsidR="007040A0" w:rsidRPr="00413E27" w:rsidTr="007040A0">
        <w:tc>
          <w:tcPr>
            <w:tcW w:w="4531" w:type="dxa"/>
          </w:tcPr>
          <w:p w:rsidR="007040A0" w:rsidRPr="00413E27" w:rsidRDefault="007040A0" w:rsidP="008557BA">
            <w:pPr>
              <w:jc w:val="both"/>
              <w:rPr>
                <w:sz w:val="18"/>
                <w:szCs w:val="18"/>
              </w:rPr>
            </w:pPr>
            <w:r w:rsidRPr="00413E27">
              <w:rPr>
                <w:sz w:val="18"/>
                <w:szCs w:val="18"/>
              </w:rPr>
              <w:t>Wycena przychodu jest dwuetapowa:</w:t>
            </w:r>
          </w:p>
          <w:p w:rsidR="007040A0" w:rsidRPr="00413E27" w:rsidRDefault="007040A0" w:rsidP="007040A0">
            <w:pPr>
              <w:pStyle w:val="Akapitzlist"/>
              <w:numPr>
                <w:ilvl w:val="0"/>
                <w:numId w:val="8"/>
              </w:numPr>
              <w:jc w:val="both"/>
              <w:rPr>
                <w:sz w:val="18"/>
                <w:szCs w:val="18"/>
              </w:rPr>
            </w:pPr>
            <w:r w:rsidRPr="00413E27">
              <w:rPr>
                <w:sz w:val="18"/>
                <w:szCs w:val="18"/>
              </w:rPr>
              <w:t>dowody PZ wyceniane są wg stałej ceny ewidencyjnej</w:t>
            </w:r>
          </w:p>
          <w:p w:rsidR="007040A0" w:rsidRPr="00413E27" w:rsidRDefault="007040A0" w:rsidP="007040A0">
            <w:pPr>
              <w:pStyle w:val="Akapitzlist"/>
              <w:numPr>
                <w:ilvl w:val="0"/>
                <w:numId w:val="8"/>
              </w:numPr>
              <w:jc w:val="both"/>
              <w:rPr>
                <w:sz w:val="18"/>
                <w:szCs w:val="18"/>
              </w:rPr>
            </w:pPr>
            <w:r w:rsidRPr="00413E27">
              <w:rPr>
                <w:sz w:val="18"/>
                <w:szCs w:val="18"/>
              </w:rPr>
              <w:t>dodatkowo na podstawie  dowodu PK księguje się powstałe przy zakupie odchylenia od cen ewidencyjnych materiałów</w:t>
            </w:r>
          </w:p>
          <w:p w:rsidR="007040A0" w:rsidRPr="00413E27" w:rsidRDefault="007040A0" w:rsidP="007040A0">
            <w:pPr>
              <w:jc w:val="both"/>
              <w:rPr>
                <w:sz w:val="18"/>
                <w:szCs w:val="18"/>
              </w:rPr>
            </w:pPr>
            <w:r w:rsidRPr="00413E27">
              <w:rPr>
                <w:sz w:val="18"/>
                <w:szCs w:val="18"/>
              </w:rPr>
              <w:t>Odchylenia od cen ewidencyjnych to różnica pomiędzy ceną rzeczywistą z faktury  zakupu a stałą ceną ewidencyjną. Mogą mieć charakter debetowy lub kredytowy:</w:t>
            </w:r>
          </w:p>
          <w:p w:rsidR="007040A0" w:rsidRPr="00413E27" w:rsidRDefault="007040A0" w:rsidP="007040A0">
            <w:pPr>
              <w:pStyle w:val="Akapitzlist"/>
              <w:numPr>
                <w:ilvl w:val="0"/>
                <w:numId w:val="9"/>
              </w:numPr>
              <w:jc w:val="both"/>
              <w:rPr>
                <w:sz w:val="18"/>
                <w:szCs w:val="18"/>
              </w:rPr>
            </w:pPr>
            <w:r w:rsidRPr="00413E27">
              <w:rPr>
                <w:sz w:val="18"/>
                <w:szCs w:val="18"/>
              </w:rPr>
              <w:t>debetowe – cena rzeczywista &gt; stała cena ewidencyjna</w:t>
            </w:r>
            <w:r w:rsidR="00047471" w:rsidRPr="00413E27">
              <w:rPr>
                <w:sz w:val="18"/>
                <w:szCs w:val="18"/>
              </w:rPr>
              <w:t>;</w:t>
            </w:r>
          </w:p>
          <w:p w:rsidR="00047471" w:rsidRPr="00413E27" w:rsidRDefault="00047471" w:rsidP="007040A0">
            <w:pPr>
              <w:pStyle w:val="Akapitzlist"/>
              <w:numPr>
                <w:ilvl w:val="0"/>
                <w:numId w:val="9"/>
              </w:numPr>
              <w:jc w:val="both"/>
              <w:rPr>
                <w:sz w:val="18"/>
                <w:szCs w:val="18"/>
              </w:rPr>
            </w:pPr>
            <w:r w:rsidRPr="00413E27">
              <w:rPr>
                <w:sz w:val="18"/>
                <w:szCs w:val="18"/>
              </w:rPr>
              <w:t xml:space="preserve">kredytowe - </w:t>
            </w:r>
            <w:r w:rsidRPr="00413E27">
              <w:rPr>
                <w:sz w:val="18"/>
                <w:szCs w:val="18"/>
              </w:rPr>
              <w:t>cena</w:t>
            </w:r>
            <w:r w:rsidRPr="00413E27">
              <w:rPr>
                <w:sz w:val="18"/>
                <w:szCs w:val="18"/>
              </w:rPr>
              <w:t xml:space="preserve"> rzeczywista &lt;</w:t>
            </w:r>
            <w:r w:rsidRPr="00413E27">
              <w:rPr>
                <w:sz w:val="18"/>
                <w:szCs w:val="18"/>
              </w:rPr>
              <w:t xml:space="preserve"> stała cena ewidencyjna</w:t>
            </w:r>
          </w:p>
        </w:tc>
        <w:tc>
          <w:tcPr>
            <w:tcW w:w="4531" w:type="dxa"/>
          </w:tcPr>
          <w:p w:rsidR="007040A0" w:rsidRPr="00413E27" w:rsidRDefault="00047471" w:rsidP="008557BA">
            <w:pPr>
              <w:jc w:val="both"/>
              <w:rPr>
                <w:sz w:val="18"/>
                <w:szCs w:val="18"/>
              </w:rPr>
            </w:pPr>
            <w:r w:rsidRPr="00413E27">
              <w:rPr>
                <w:sz w:val="18"/>
                <w:szCs w:val="18"/>
              </w:rPr>
              <w:t>Wycena rozchodu jest dwuetapowa:</w:t>
            </w:r>
          </w:p>
          <w:p w:rsidR="00047471" w:rsidRPr="00413E27" w:rsidRDefault="00047471" w:rsidP="00047471">
            <w:pPr>
              <w:pStyle w:val="Akapitzlist"/>
              <w:numPr>
                <w:ilvl w:val="0"/>
                <w:numId w:val="10"/>
              </w:numPr>
              <w:jc w:val="both"/>
              <w:rPr>
                <w:sz w:val="18"/>
                <w:szCs w:val="18"/>
              </w:rPr>
            </w:pPr>
            <w:r w:rsidRPr="00413E27">
              <w:rPr>
                <w:sz w:val="18"/>
                <w:szCs w:val="18"/>
              </w:rPr>
              <w:t>dowody RW, WZ wyceniane są wg stałej ceny ewidencyjnej,</w:t>
            </w:r>
          </w:p>
          <w:p w:rsidR="00047471" w:rsidRPr="00413E27" w:rsidRDefault="00047471" w:rsidP="00047471">
            <w:pPr>
              <w:pStyle w:val="Akapitzlist"/>
              <w:numPr>
                <w:ilvl w:val="0"/>
                <w:numId w:val="10"/>
              </w:numPr>
              <w:jc w:val="both"/>
              <w:rPr>
                <w:sz w:val="18"/>
                <w:szCs w:val="18"/>
              </w:rPr>
            </w:pPr>
            <w:r w:rsidRPr="00413E27">
              <w:rPr>
                <w:sz w:val="18"/>
                <w:szCs w:val="18"/>
              </w:rPr>
              <w:t>dodatkowo na koniec miesiąca na podstawie dowodu PK, księguje się narzut odchyleń przypadający na rozchody materiałów wg wzorów:</w:t>
            </w:r>
          </w:p>
          <w:p w:rsidR="00047471" w:rsidRPr="00413E27" w:rsidRDefault="00047471" w:rsidP="00047471">
            <w:pPr>
              <w:pStyle w:val="Akapitzlist"/>
              <w:jc w:val="both"/>
              <w:rPr>
                <w:sz w:val="18"/>
                <w:szCs w:val="18"/>
              </w:rPr>
            </w:pPr>
          </w:p>
          <w:p w:rsidR="00047471" w:rsidRPr="00413E27" w:rsidRDefault="00047471" w:rsidP="00047471">
            <w:pPr>
              <w:pStyle w:val="Akapitzlist"/>
              <w:numPr>
                <w:ilvl w:val="1"/>
                <w:numId w:val="10"/>
              </w:numPr>
              <w:jc w:val="both"/>
              <w:rPr>
                <w:sz w:val="18"/>
                <w:szCs w:val="18"/>
              </w:rPr>
            </w:pPr>
            <w:r w:rsidRPr="00413E27">
              <w:rPr>
                <w:sz w:val="18"/>
                <w:szCs w:val="18"/>
              </w:rPr>
              <w:t>wskaźnik narzutu;</w:t>
            </w:r>
          </w:p>
          <w:p w:rsidR="00047471" w:rsidRPr="00413E27" w:rsidRDefault="00047471" w:rsidP="00047471">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O</m:t>
                    </m:r>
                  </m:sub>
                </m:sSub>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P</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M</m:t>
                        </m:r>
                      </m:sub>
                    </m:sSub>
                  </m:num>
                  <m:den>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R</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SK</m:t>
                        </m:r>
                      </m:sub>
                    </m:sSub>
                  </m:den>
                </m:f>
                <m:r>
                  <w:rPr>
                    <w:rFonts w:ascii="Cambria Math" w:hAnsi="Cambria Math"/>
                    <w:sz w:val="18"/>
                    <w:szCs w:val="18"/>
                  </w:rPr>
                  <m:t xml:space="preserve"> x 100%</m:t>
                </m:r>
              </m:oMath>
            </m:oMathPara>
          </w:p>
          <w:p w:rsidR="00047471" w:rsidRPr="00413E27" w:rsidRDefault="00047471" w:rsidP="00047471">
            <w:pPr>
              <w:jc w:val="both"/>
              <w:rPr>
                <w:rFonts w:eastAsiaTheme="minorEastAsia"/>
                <w:sz w:val="18"/>
                <w:szCs w:val="18"/>
              </w:rPr>
            </w:pPr>
            <w:r w:rsidRPr="00413E27">
              <w:rPr>
                <w:rFonts w:eastAsiaTheme="minorEastAsia"/>
                <w:sz w:val="18"/>
                <w:szCs w:val="18"/>
              </w:rPr>
              <w:t>O</w:t>
            </w:r>
            <w:r w:rsidRPr="00413E27">
              <w:rPr>
                <w:rFonts w:eastAsiaTheme="minorEastAsia"/>
                <w:sz w:val="18"/>
                <w:szCs w:val="18"/>
                <w:vertAlign w:val="subscript"/>
              </w:rPr>
              <w:t>P</w:t>
            </w:r>
            <w:r w:rsidRPr="00413E27">
              <w:rPr>
                <w:rFonts w:eastAsiaTheme="minorEastAsia"/>
                <w:sz w:val="18"/>
                <w:szCs w:val="18"/>
              </w:rPr>
              <w:t xml:space="preserve"> -  stan początkowy odchyleń</w:t>
            </w:r>
          </w:p>
          <w:p w:rsidR="00047471" w:rsidRPr="00413E27" w:rsidRDefault="00047471" w:rsidP="00047471">
            <w:pPr>
              <w:jc w:val="both"/>
              <w:rPr>
                <w:rFonts w:eastAsiaTheme="minorEastAsia"/>
                <w:sz w:val="18"/>
                <w:szCs w:val="18"/>
              </w:rPr>
            </w:pPr>
            <w:r w:rsidRPr="00413E27">
              <w:rPr>
                <w:rFonts w:eastAsiaTheme="minorEastAsia"/>
                <w:sz w:val="18"/>
                <w:szCs w:val="18"/>
              </w:rPr>
              <w:t>O</w:t>
            </w:r>
            <w:r w:rsidRPr="00413E27">
              <w:rPr>
                <w:rFonts w:eastAsiaTheme="minorEastAsia"/>
                <w:sz w:val="18"/>
                <w:szCs w:val="18"/>
                <w:vertAlign w:val="subscript"/>
              </w:rPr>
              <w:t xml:space="preserve">M </w:t>
            </w:r>
            <w:r w:rsidRPr="00413E27">
              <w:rPr>
                <w:rFonts w:eastAsiaTheme="minorEastAsia"/>
                <w:sz w:val="18"/>
                <w:szCs w:val="18"/>
              </w:rPr>
              <w:t>– odchylenia powstałe w okresie bieżącym</w:t>
            </w:r>
          </w:p>
          <w:p w:rsidR="00047471" w:rsidRPr="00413E27" w:rsidRDefault="00047471" w:rsidP="00047471">
            <w:pPr>
              <w:jc w:val="both"/>
              <w:rPr>
                <w:rFonts w:eastAsiaTheme="minorEastAsia"/>
                <w:sz w:val="18"/>
                <w:szCs w:val="18"/>
              </w:rPr>
            </w:pPr>
            <w:r w:rsidRPr="00413E27">
              <w:rPr>
                <w:rFonts w:eastAsiaTheme="minorEastAsia"/>
                <w:sz w:val="18"/>
                <w:szCs w:val="18"/>
              </w:rPr>
              <w:t>M</w:t>
            </w:r>
            <w:r w:rsidRPr="00413E27">
              <w:rPr>
                <w:rFonts w:eastAsiaTheme="minorEastAsia"/>
                <w:sz w:val="18"/>
                <w:szCs w:val="18"/>
                <w:vertAlign w:val="subscript"/>
              </w:rPr>
              <w:t xml:space="preserve">R </w:t>
            </w:r>
            <w:r w:rsidRPr="00413E27">
              <w:rPr>
                <w:rFonts w:eastAsiaTheme="minorEastAsia"/>
                <w:sz w:val="18"/>
                <w:szCs w:val="18"/>
              </w:rPr>
              <w:t>– wartość rozchodów materiałów</w:t>
            </w:r>
          </w:p>
          <w:p w:rsidR="00047471" w:rsidRPr="00413E27" w:rsidRDefault="00047471" w:rsidP="00047471">
            <w:pPr>
              <w:jc w:val="both"/>
              <w:rPr>
                <w:rFonts w:eastAsiaTheme="minorEastAsia"/>
                <w:sz w:val="18"/>
                <w:szCs w:val="18"/>
              </w:rPr>
            </w:pPr>
            <w:r w:rsidRPr="00413E27">
              <w:rPr>
                <w:rFonts w:eastAsiaTheme="minorEastAsia"/>
                <w:sz w:val="18"/>
                <w:szCs w:val="18"/>
              </w:rPr>
              <w:t>M</w:t>
            </w:r>
            <w:r w:rsidRPr="00413E27">
              <w:rPr>
                <w:rFonts w:eastAsiaTheme="minorEastAsia"/>
                <w:sz w:val="18"/>
                <w:szCs w:val="18"/>
                <w:vertAlign w:val="subscript"/>
              </w:rPr>
              <w:t xml:space="preserve">SK </w:t>
            </w:r>
            <w:r w:rsidRPr="00413E27">
              <w:rPr>
                <w:rFonts w:eastAsiaTheme="minorEastAsia"/>
                <w:sz w:val="18"/>
                <w:szCs w:val="18"/>
              </w:rPr>
              <w:t>– zapas końcowy materiałów</w:t>
            </w:r>
          </w:p>
          <w:p w:rsidR="00047471" w:rsidRPr="00413E27" w:rsidRDefault="00047471" w:rsidP="00047471">
            <w:pPr>
              <w:jc w:val="both"/>
              <w:rPr>
                <w:rFonts w:eastAsiaTheme="minorEastAsia"/>
                <w:sz w:val="18"/>
                <w:szCs w:val="18"/>
              </w:rPr>
            </w:pPr>
          </w:p>
          <w:p w:rsidR="00047471" w:rsidRPr="00413E27" w:rsidRDefault="00047471" w:rsidP="00047471">
            <w:pPr>
              <w:pStyle w:val="Akapitzlist"/>
              <w:numPr>
                <w:ilvl w:val="1"/>
                <w:numId w:val="10"/>
              </w:numPr>
              <w:jc w:val="both"/>
              <w:rPr>
                <w:rFonts w:eastAsiaTheme="minorEastAsia"/>
                <w:sz w:val="18"/>
                <w:szCs w:val="18"/>
              </w:rPr>
            </w:pPr>
            <w:r w:rsidRPr="00413E27">
              <w:rPr>
                <w:rFonts w:eastAsiaTheme="minorEastAsia"/>
                <w:sz w:val="18"/>
                <w:szCs w:val="18"/>
              </w:rPr>
              <w:t>narzut odchyleń na poszczególne rozchody;</w:t>
            </w:r>
          </w:p>
          <w:p w:rsidR="00047471" w:rsidRPr="00413E27" w:rsidRDefault="00047471" w:rsidP="00047471">
            <w:pPr>
              <w:jc w:val="both"/>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N</m:t>
                    </m:r>
                  </m:e>
                  <m:sub>
                    <m:r>
                      <w:rPr>
                        <w:rFonts w:ascii="Cambria Math" w:eastAsiaTheme="minorEastAsia" w:hAnsi="Cambria Math"/>
                        <w:sz w:val="18"/>
                        <w:szCs w:val="18"/>
                      </w:rPr>
                      <m:t>O</m:t>
                    </m:r>
                  </m:sub>
                </m:sSub>
                <m:r>
                  <w:rPr>
                    <w:rFonts w:ascii="Cambria Math" w:eastAsiaTheme="minorEastAsia"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W</m:t>
                    </m:r>
                  </m:e>
                  <m:sub>
                    <m:r>
                      <w:rPr>
                        <w:rFonts w:ascii="Cambria Math" w:eastAsiaTheme="minorEastAsia" w:hAnsi="Cambria Math"/>
                        <w:sz w:val="18"/>
                        <w:szCs w:val="18"/>
                      </w:rPr>
                      <m:t>O</m:t>
                    </m:r>
                  </m:sub>
                </m:sSub>
                <m:r>
                  <w:rPr>
                    <w:rFonts w:ascii="Cambria Math" w:eastAsiaTheme="minorEastAsia" w:hAnsi="Cambria Math"/>
                    <w:sz w:val="18"/>
                    <w:szCs w:val="18"/>
                  </w:rPr>
                  <m:t xml:space="preserve"> x wartość poszczegónych rozchodów</m:t>
                </m:r>
              </m:oMath>
            </m:oMathPara>
          </w:p>
          <w:p w:rsidR="00047471" w:rsidRPr="00413E27" w:rsidRDefault="00047471" w:rsidP="00047471">
            <w:pPr>
              <w:jc w:val="both"/>
              <w:rPr>
                <w:sz w:val="18"/>
                <w:szCs w:val="18"/>
              </w:rPr>
            </w:pPr>
          </w:p>
        </w:tc>
      </w:tr>
      <w:tr w:rsidR="00482ECA" w:rsidRPr="00413E27" w:rsidTr="007040A0">
        <w:tc>
          <w:tcPr>
            <w:tcW w:w="4531" w:type="dxa"/>
          </w:tcPr>
          <w:p w:rsidR="00482ECA" w:rsidRPr="00413E27" w:rsidRDefault="00482ECA" w:rsidP="008557BA">
            <w:pPr>
              <w:jc w:val="both"/>
              <w:rPr>
                <w:sz w:val="18"/>
                <w:szCs w:val="18"/>
              </w:rPr>
            </w:pPr>
            <w:r w:rsidRPr="00413E27">
              <w:rPr>
                <w:sz w:val="18"/>
                <w:szCs w:val="18"/>
              </w:rPr>
              <w:t>Stała cena ewidencyjna ustalona na poziomie ceny zakupu, brak kosztów zakupu lub koszty zakupu ujmuje się w kosztach bieżącego okresu</w:t>
            </w:r>
          </w:p>
        </w:tc>
        <w:tc>
          <w:tcPr>
            <w:tcW w:w="4531" w:type="dxa"/>
          </w:tcPr>
          <w:p w:rsidR="00482ECA" w:rsidRPr="00413E27" w:rsidRDefault="00482ECA" w:rsidP="008557BA">
            <w:pPr>
              <w:jc w:val="both"/>
              <w:rPr>
                <w:sz w:val="18"/>
                <w:szCs w:val="18"/>
              </w:rPr>
            </w:pPr>
            <w:r w:rsidRPr="00413E27">
              <w:rPr>
                <w:sz w:val="18"/>
                <w:szCs w:val="18"/>
              </w:rPr>
              <w:t>Rozchód materiałów i stan końcowy następuje wg stałej ceny ewidencyjnej na poziomie ceny zakupu, skorygowanych o odchylenia od cen ewidencyjnych przypadających na rozchód materiałów i zapas końcowy.</w:t>
            </w:r>
          </w:p>
        </w:tc>
      </w:tr>
      <w:tr w:rsidR="00482ECA" w:rsidRPr="00413E27" w:rsidTr="007040A0">
        <w:tc>
          <w:tcPr>
            <w:tcW w:w="4531" w:type="dxa"/>
          </w:tcPr>
          <w:p w:rsidR="00482ECA" w:rsidRPr="00413E27" w:rsidRDefault="00482ECA" w:rsidP="008557BA">
            <w:pPr>
              <w:jc w:val="both"/>
              <w:rPr>
                <w:sz w:val="18"/>
                <w:szCs w:val="18"/>
              </w:rPr>
            </w:pPr>
            <w:r w:rsidRPr="00413E27">
              <w:rPr>
                <w:sz w:val="18"/>
                <w:szCs w:val="18"/>
              </w:rPr>
              <w:t>Stała cena ewidencyjna ustalona na poziomie ceny zakupu, koszty zakupu rozlicza się w czasie</w:t>
            </w:r>
          </w:p>
        </w:tc>
        <w:tc>
          <w:tcPr>
            <w:tcW w:w="4531" w:type="dxa"/>
          </w:tcPr>
          <w:p w:rsidR="00482ECA" w:rsidRPr="00413E27" w:rsidRDefault="00482ECA" w:rsidP="008557BA">
            <w:pPr>
              <w:jc w:val="both"/>
              <w:rPr>
                <w:sz w:val="18"/>
                <w:szCs w:val="18"/>
              </w:rPr>
            </w:pPr>
            <w:r w:rsidRPr="00413E27">
              <w:rPr>
                <w:sz w:val="18"/>
                <w:szCs w:val="18"/>
              </w:rPr>
              <w:t>Rozchód materiałów i stan końcowy następuje wg stałej ceny ewidencyjnej na poziomie ceny zakupu, skorygowanych o:</w:t>
            </w:r>
          </w:p>
          <w:p w:rsidR="00482ECA" w:rsidRPr="00413E27" w:rsidRDefault="00482ECA" w:rsidP="00482ECA">
            <w:pPr>
              <w:pStyle w:val="Akapitzlist"/>
              <w:numPr>
                <w:ilvl w:val="0"/>
                <w:numId w:val="11"/>
              </w:numPr>
              <w:jc w:val="both"/>
              <w:rPr>
                <w:sz w:val="18"/>
                <w:szCs w:val="18"/>
              </w:rPr>
            </w:pPr>
            <w:r w:rsidRPr="00413E27">
              <w:rPr>
                <w:sz w:val="18"/>
                <w:szCs w:val="18"/>
              </w:rPr>
              <w:t>odchylenia od cen ewidencyjnych przypadających na rozchód materiałów i zapas końcowy,</w:t>
            </w:r>
          </w:p>
          <w:p w:rsidR="00482ECA" w:rsidRPr="00413E27" w:rsidRDefault="00482ECA" w:rsidP="00482ECA">
            <w:pPr>
              <w:pStyle w:val="Akapitzlist"/>
              <w:numPr>
                <w:ilvl w:val="0"/>
                <w:numId w:val="11"/>
              </w:numPr>
              <w:jc w:val="both"/>
              <w:rPr>
                <w:sz w:val="18"/>
                <w:szCs w:val="18"/>
              </w:rPr>
            </w:pPr>
            <w:r w:rsidRPr="00413E27">
              <w:rPr>
                <w:sz w:val="18"/>
                <w:szCs w:val="18"/>
              </w:rPr>
              <w:t>koszty zakupu przypadające na rozchód materiałów i zapas końcowy.</w:t>
            </w:r>
          </w:p>
        </w:tc>
      </w:tr>
      <w:tr w:rsidR="00482ECA" w:rsidRPr="00413E27" w:rsidTr="007040A0">
        <w:tc>
          <w:tcPr>
            <w:tcW w:w="4531" w:type="dxa"/>
          </w:tcPr>
          <w:p w:rsidR="00482ECA" w:rsidRPr="00413E27" w:rsidRDefault="00482ECA" w:rsidP="008557BA">
            <w:pPr>
              <w:jc w:val="both"/>
              <w:rPr>
                <w:sz w:val="18"/>
                <w:szCs w:val="18"/>
              </w:rPr>
            </w:pPr>
            <w:r w:rsidRPr="00413E27">
              <w:rPr>
                <w:sz w:val="18"/>
                <w:szCs w:val="18"/>
              </w:rPr>
              <w:t>Stała cena ewidencyjna ustalona na poziomie ceny nabycia</w:t>
            </w:r>
          </w:p>
        </w:tc>
        <w:tc>
          <w:tcPr>
            <w:tcW w:w="4531" w:type="dxa"/>
          </w:tcPr>
          <w:p w:rsidR="00482ECA" w:rsidRPr="00413E27" w:rsidRDefault="00482ECA" w:rsidP="008557BA">
            <w:pPr>
              <w:jc w:val="both"/>
              <w:rPr>
                <w:sz w:val="18"/>
                <w:szCs w:val="18"/>
              </w:rPr>
            </w:pPr>
            <w:r w:rsidRPr="00413E27">
              <w:rPr>
                <w:sz w:val="18"/>
                <w:szCs w:val="18"/>
              </w:rPr>
              <w:t xml:space="preserve">Rozchód materiałów i stan końcowy następuje wg stałej ceny ewidencyjnej na poziomie ceny nabycia, skorygowanych o odchylenia od cen ewidencyjnych </w:t>
            </w:r>
            <w:r w:rsidR="00626D06" w:rsidRPr="00413E27">
              <w:rPr>
                <w:sz w:val="18"/>
                <w:szCs w:val="18"/>
              </w:rPr>
              <w:t xml:space="preserve">przypadających na rozchód materiałów i zapas końcowy. </w:t>
            </w:r>
          </w:p>
        </w:tc>
      </w:tr>
    </w:tbl>
    <w:p w:rsidR="007040A0" w:rsidRDefault="007040A0" w:rsidP="00A40C63">
      <w:pPr>
        <w:spacing w:after="0"/>
        <w:jc w:val="both"/>
      </w:pPr>
    </w:p>
    <w:p w:rsidR="00AE2084" w:rsidRDefault="00AE2084" w:rsidP="00A32277">
      <w:pPr>
        <w:jc w:val="both"/>
      </w:pPr>
      <w:r>
        <w:t>Do ewidencji operacji gospodarczych dotyczących materiałów wykorzystywane są między innymi konta:</w:t>
      </w:r>
    </w:p>
    <w:p w:rsidR="00AE2084" w:rsidRDefault="00AE2084" w:rsidP="00AE2084">
      <w:pPr>
        <w:pStyle w:val="Akapitzlist"/>
        <w:numPr>
          <w:ilvl w:val="0"/>
          <w:numId w:val="12"/>
        </w:numPr>
        <w:jc w:val="both"/>
      </w:pPr>
      <w:r>
        <w:t>M</w:t>
      </w:r>
      <w:r w:rsidR="006C73DE">
        <w:t>ateriały,</w:t>
      </w:r>
    </w:p>
    <w:p w:rsidR="006C73DE" w:rsidRDefault="006C73DE" w:rsidP="00AE2084">
      <w:pPr>
        <w:pStyle w:val="Akapitzlist"/>
        <w:numPr>
          <w:ilvl w:val="0"/>
          <w:numId w:val="12"/>
        </w:numPr>
        <w:jc w:val="both"/>
      </w:pPr>
      <w:r>
        <w:t xml:space="preserve">Rozliczenie zakup materiałów – po stronie </w:t>
      </w:r>
      <w:proofErr w:type="spellStart"/>
      <w:r>
        <w:t>Wn</w:t>
      </w:r>
      <w:proofErr w:type="spellEnd"/>
      <w:r>
        <w:t xml:space="preserve"> księguje się otrzymane faktury za zakupione materiały, po stronie Ma księguje się przyjęte dostawy materiałów. W sytuacji, gdy do magazynu zostały przyjęte materiały, a nie ma jeszcze faktury ich zakupy, powstają tzw. dostawy niefakturowane (saldo Ma). Natomiast w przypadku otrzymania faktury przed zwiększeniem stanu materiałów w magazynie, wykazywane są t</w:t>
      </w:r>
      <w:r w:rsidR="008E6B91">
        <w:t xml:space="preserve">zw. dostawy w drodze (saldo </w:t>
      </w:r>
      <w:proofErr w:type="spellStart"/>
      <w:r w:rsidR="008E6B91">
        <w:t>Wn</w:t>
      </w:r>
      <w:proofErr w:type="spellEnd"/>
      <w:r w:rsidR="008E6B91">
        <w:t>),</w:t>
      </w:r>
    </w:p>
    <w:p w:rsidR="008E6B91" w:rsidRDefault="008E6B91" w:rsidP="00AE2084">
      <w:pPr>
        <w:pStyle w:val="Akapitzlist"/>
        <w:numPr>
          <w:ilvl w:val="0"/>
          <w:numId w:val="12"/>
        </w:numPr>
        <w:jc w:val="both"/>
      </w:pPr>
      <w:r>
        <w:t>Zużycie materiałów i energii</w:t>
      </w:r>
      <w:r w:rsidR="008508F7">
        <w:t>,</w:t>
      </w:r>
    </w:p>
    <w:p w:rsidR="008508F7" w:rsidRDefault="008508F7" w:rsidP="00AE2084">
      <w:pPr>
        <w:pStyle w:val="Akapitzlist"/>
        <w:numPr>
          <w:ilvl w:val="0"/>
          <w:numId w:val="12"/>
        </w:numPr>
        <w:jc w:val="both"/>
      </w:pPr>
      <w:r>
        <w:t>Rozliczenia międzyokresowe kosztów zakupu – służy do rozliczania w czasie kosztów zakupu materiałów,</w:t>
      </w:r>
    </w:p>
    <w:p w:rsidR="008508F7" w:rsidRDefault="008508F7" w:rsidP="00AE2084">
      <w:pPr>
        <w:pStyle w:val="Akapitzlist"/>
        <w:numPr>
          <w:ilvl w:val="0"/>
          <w:numId w:val="12"/>
        </w:numPr>
        <w:jc w:val="both"/>
      </w:pPr>
      <w:r>
        <w:t>Odchylenia od cen ewidencyjnych materiałów – służy do księgowania wartości odchylenia miedzy stałą ceną ewidencyjną a rzeczywistą ceną materiałów oraz do proporcjonalnego rozliczania odchylenia na materiały rozchodowane i zapas materiałów,</w:t>
      </w:r>
    </w:p>
    <w:p w:rsidR="008508F7" w:rsidRDefault="008508F7" w:rsidP="00AE2084">
      <w:pPr>
        <w:pStyle w:val="Akapitzlist"/>
        <w:numPr>
          <w:ilvl w:val="0"/>
          <w:numId w:val="12"/>
        </w:numPr>
        <w:jc w:val="both"/>
      </w:pPr>
      <w:r>
        <w:t>Sprzedaż materiałów – służy do rejestracji przychodów ze sprzedaży zbędnych materiałów,</w:t>
      </w:r>
    </w:p>
    <w:p w:rsidR="008508F7" w:rsidRDefault="008508F7" w:rsidP="00AE2084">
      <w:pPr>
        <w:pStyle w:val="Akapitzlist"/>
        <w:numPr>
          <w:ilvl w:val="0"/>
          <w:numId w:val="12"/>
        </w:numPr>
        <w:jc w:val="both"/>
      </w:pPr>
      <w:r>
        <w:lastRenderedPageBreak/>
        <w:t xml:space="preserve">Wartość sprzedanych materiałów – służy do ewidencji kosztów uzyskania sprzedanych zbędnych materiałów. </w:t>
      </w:r>
    </w:p>
    <w:p w:rsidR="009B247E" w:rsidRDefault="009B247E" w:rsidP="009B247E">
      <w:pPr>
        <w:jc w:val="both"/>
      </w:pPr>
      <w:r>
        <w:t>Ewidencyjne ujęcie przykładowych operacji gospodarczych</w:t>
      </w:r>
    </w:p>
    <w:tbl>
      <w:tblPr>
        <w:tblStyle w:val="Tabela-Siatka"/>
        <w:tblW w:w="0" w:type="auto"/>
        <w:tblLook w:val="04A0" w:firstRow="1" w:lastRow="0" w:firstColumn="1" w:lastColumn="0" w:noHBand="0" w:noVBand="1"/>
      </w:tblPr>
      <w:tblGrid>
        <w:gridCol w:w="444"/>
        <w:gridCol w:w="3328"/>
        <w:gridCol w:w="889"/>
        <w:gridCol w:w="2200"/>
        <w:gridCol w:w="2201"/>
      </w:tblGrid>
      <w:tr w:rsidR="00F85E75" w:rsidRPr="00F85E75" w:rsidTr="00F85E75">
        <w:tc>
          <w:tcPr>
            <w:tcW w:w="444" w:type="dxa"/>
            <w:vAlign w:val="center"/>
          </w:tcPr>
          <w:p w:rsidR="009B247E" w:rsidRPr="00F85E75" w:rsidRDefault="009B247E" w:rsidP="009B247E">
            <w:pPr>
              <w:jc w:val="center"/>
              <w:rPr>
                <w:sz w:val="18"/>
                <w:szCs w:val="18"/>
              </w:rPr>
            </w:pPr>
            <w:r w:rsidRPr="00F85E75">
              <w:rPr>
                <w:sz w:val="18"/>
                <w:szCs w:val="18"/>
              </w:rPr>
              <w:t>Lp.</w:t>
            </w:r>
          </w:p>
        </w:tc>
        <w:tc>
          <w:tcPr>
            <w:tcW w:w="3328" w:type="dxa"/>
            <w:vAlign w:val="center"/>
          </w:tcPr>
          <w:p w:rsidR="009B247E" w:rsidRPr="00F85E75" w:rsidRDefault="009B247E" w:rsidP="009B247E">
            <w:pPr>
              <w:jc w:val="center"/>
              <w:rPr>
                <w:sz w:val="18"/>
                <w:szCs w:val="18"/>
              </w:rPr>
            </w:pPr>
            <w:r w:rsidRPr="00F85E75">
              <w:rPr>
                <w:sz w:val="18"/>
                <w:szCs w:val="18"/>
              </w:rPr>
              <w:t>Treść operacji</w:t>
            </w:r>
          </w:p>
        </w:tc>
        <w:tc>
          <w:tcPr>
            <w:tcW w:w="889" w:type="dxa"/>
            <w:vAlign w:val="center"/>
          </w:tcPr>
          <w:p w:rsidR="009B247E" w:rsidRPr="00F85E75" w:rsidRDefault="009B247E" w:rsidP="009B247E">
            <w:pPr>
              <w:jc w:val="center"/>
              <w:rPr>
                <w:sz w:val="18"/>
                <w:szCs w:val="18"/>
              </w:rPr>
            </w:pPr>
            <w:r w:rsidRPr="00F85E75">
              <w:rPr>
                <w:sz w:val="18"/>
                <w:szCs w:val="18"/>
              </w:rPr>
              <w:t>Dowód księgowy</w:t>
            </w:r>
          </w:p>
        </w:tc>
        <w:tc>
          <w:tcPr>
            <w:tcW w:w="2200" w:type="dxa"/>
            <w:vAlign w:val="center"/>
          </w:tcPr>
          <w:p w:rsidR="009B247E" w:rsidRPr="00F85E75" w:rsidRDefault="009B247E" w:rsidP="009B247E">
            <w:pPr>
              <w:jc w:val="center"/>
              <w:rPr>
                <w:sz w:val="18"/>
                <w:szCs w:val="18"/>
              </w:rPr>
            </w:pPr>
            <w:r w:rsidRPr="00F85E75">
              <w:rPr>
                <w:sz w:val="18"/>
                <w:szCs w:val="18"/>
              </w:rPr>
              <w:t xml:space="preserve">Konto </w:t>
            </w:r>
            <w:proofErr w:type="spellStart"/>
            <w:r w:rsidRPr="00F85E75">
              <w:rPr>
                <w:sz w:val="18"/>
                <w:szCs w:val="18"/>
              </w:rPr>
              <w:t>Wn</w:t>
            </w:r>
            <w:proofErr w:type="spellEnd"/>
          </w:p>
        </w:tc>
        <w:tc>
          <w:tcPr>
            <w:tcW w:w="2201" w:type="dxa"/>
            <w:vAlign w:val="center"/>
          </w:tcPr>
          <w:p w:rsidR="009B247E" w:rsidRPr="00F85E75" w:rsidRDefault="009B247E" w:rsidP="009B247E">
            <w:pPr>
              <w:jc w:val="center"/>
              <w:rPr>
                <w:sz w:val="18"/>
                <w:szCs w:val="18"/>
              </w:rPr>
            </w:pPr>
            <w:r w:rsidRPr="00F85E75">
              <w:rPr>
                <w:sz w:val="18"/>
                <w:szCs w:val="18"/>
              </w:rPr>
              <w:t>Konto Ma</w:t>
            </w:r>
          </w:p>
        </w:tc>
      </w:tr>
      <w:tr w:rsidR="009B247E" w:rsidRPr="00F85E75" w:rsidTr="0014098C">
        <w:tc>
          <w:tcPr>
            <w:tcW w:w="444" w:type="dxa"/>
            <w:vAlign w:val="center"/>
          </w:tcPr>
          <w:p w:rsidR="009B247E" w:rsidRPr="00F85E75" w:rsidRDefault="009B247E" w:rsidP="0014098C">
            <w:pPr>
              <w:rPr>
                <w:sz w:val="18"/>
                <w:szCs w:val="18"/>
              </w:rPr>
            </w:pPr>
            <w:r w:rsidRPr="00F85E75">
              <w:rPr>
                <w:sz w:val="18"/>
                <w:szCs w:val="18"/>
              </w:rPr>
              <w:t>1.</w:t>
            </w:r>
          </w:p>
        </w:tc>
        <w:tc>
          <w:tcPr>
            <w:tcW w:w="3328" w:type="dxa"/>
            <w:vAlign w:val="center"/>
          </w:tcPr>
          <w:p w:rsidR="009B247E" w:rsidRPr="00F85E75" w:rsidRDefault="009B247E" w:rsidP="0014098C">
            <w:pPr>
              <w:rPr>
                <w:sz w:val="18"/>
                <w:szCs w:val="18"/>
              </w:rPr>
            </w:pPr>
            <w:r w:rsidRPr="00F85E75">
              <w:rPr>
                <w:sz w:val="18"/>
                <w:szCs w:val="18"/>
              </w:rPr>
              <w:t>Przyjęcie materiałów do magazynu</w:t>
            </w:r>
          </w:p>
        </w:tc>
        <w:tc>
          <w:tcPr>
            <w:tcW w:w="889" w:type="dxa"/>
            <w:vAlign w:val="center"/>
          </w:tcPr>
          <w:p w:rsidR="009B247E" w:rsidRPr="00F85E75" w:rsidRDefault="009B247E" w:rsidP="0014098C">
            <w:pPr>
              <w:rPr>
                <w:sz w:val="18"/>
                <w:szCs w:val="18"/>
              </w:rPr>
            </w:pPr>
            <w:r w:rsidRPr="00F85E75">
              <w:rPr>
                <w:sz w:val="18"/>
                <w:szCs w:val="18"/>
              </w:rPr>
              <w:t>PZ</w:t>
            </w:r>
          </w:p>
        </w:tc>
        <w:tc>
          <w:tcPr>
            <w:tcW w:w="2200" w:type="dxa"/>
            <w:vMerge w:val="restart"/>
            <w:vAlign w:val="center"/>
          </w:tcPr>
          <w:p w:rsidR="009B247E" w:rsidRPr="00F85E75" w:rsidRDefault="009B247E" w:rsidP="009B247E">
            <w:pPr>
              <w:jc w:val="center"/>
              <w:rPr>
                <w:sz w:val="18"/>
                <w:szCs w:val="18"/>
              </w:rPr>
            </w:pPr>
            <w:r w:rsidRPr="00F85E75">
              <w:rPr>
                <w:sz w:val="18"/>
                <w:szCs w:val="18"/>
              </w:rPr>
              <w:t>Materiały</w:t>
            </w:r>
          </w:p>
        </w:tc>
        <w:tc>
          <w:tcPr>
            <w:tcW w:w="2201" w:type="dxa"/>
          </w:tcPr>
          <w:p w:rsidR="009B247E" w:rsidRPr="00F85E75" w:rsidRDefault="009B247E" w:rsidP="0014098C">
            <w:pPr>
              <w:jc w:val="center"/>
              <w:rPr>
                <w:sz w:val="18"/>
                <w:szCs w:val="18"/>
              </w:rPr>
            </w:pPr>
            <w:r w:rsidRPr="00F85E75">
              <w:rPr>
                <w:sz w:val="18"/>
                <w:szCs w:val="18"/>
              </w:rPr>
              <w:t>Rozliczenie zakupu materiałów</w:t>
            </w:r>
          </w:p>
        </w:tc>
      </w:tr>
      <w:tr w:rsidR="009B247E" w:rsidRPr="00F85E75" w:rsidTr="0014098C">
        <w:tc>
          <w:tcPr>
            <w:tcW w:w="444" w:type="dxa"/>
            <w:vAlign w:val="center"/>
          </w:tcPr>
          <w:p w:rsidR="009B247E" w:rsidRPr="00F85E75" w:rsidRDefault="009B247E" w:rsidP="0014098C">
            <w:pPr>
              <w:rPr>
                <w:sz w:val="18"/>
                <w:szCs w:val="18"/>
              </w:rPr>
            </w:pPr>
            <w:r w:rsidRPr="00F85E75">
              <w:rPr>
                <w:sz w:val="18"/>
                <w:szCs w:val="18"/>
              </w:rPr>
              <w:t xml:space="preserve">2. </w:t>
            </w:r>
          </w:p>
        </w:tc>
        <w:tc>
          <w:tcPr>
            <w:tcW w:w="3328" w:type="dxa"/>
            <w:vAlign w:val="center"/>
          </w:tcPr>
          <w:p w:rsidR="009B247E" w:rsidRPr="00F85E75" w:rsidRDefault="009B247E" w:rsidP="0014098C">
            <w:pPr>
              <w:rPr>
                <w:sz w:val="18"/>
                <w:szCs w:val="18"/>
              </w:rPr>
            </w:pPr>
            <w:r w:rsidRPr="00F85E75">
              <w:rPr>
                <w:sz w:val="18"/>
                <w:szCs w:val="18"/>
              </w:rPr>
              <w:t>Przyjęcie odpadów użytkowych z produkcji</w:t>
            </w:r>
          </w:p>
        </w:tc>
        <w:tc>
          <w:tcPr>
            <w:tcW w:w="889" w:type="dxa"/>
            <w:vAlign w:val="center"/>
          </w:tcPr>
          <w:p w:rsidR="009B247E" w:rsidRPr="00F85E75" w:rsidRDefault="009B247E" w:rsidP="0014098C">
            <w:pPr>
              <w:rPr>
                <w:sz w:val="18"/>
                <w:szCs w:val="18"/>
              </w:rPr>
            </w:pPr>
            <w:r w:rsidRPr="00F85E75">
              <w:rPr>
                <w:sz w:val="18"/>
                <w:szCs w:val="18"/>
              </w:rPr>
              <w:t>PW</w:t>
            </w:r>
          </w:p>
        </w:tc>
        <w:tc>
          <w:tcPr>
            <w:tcW w:w="2200" w:type="dxa"/>
            <w:vMerge/>
          </w:tcPr>
          <w:p w:rsidR="009B247E" w:rsidRPr="00F85E75" w:rsidRDefault="009B247E" w:rsidP="009B247E">
            <w:pPr>
              <w:jc w:val="both"/>
              <w:rPr>
                <w:sz w:val="18"/>
                <w:szCs w:val="18"/>
              </w:rPr>
            </w:pPr>
          </w:p>
        </w:tc>
        <w:tc>
          <w:tcPr>
            <w:tcW w:w="2201" w:type="dxa"/>
          </w:tcPr>
          <w:p w:rsidR="009B247E" w:rsidRPr="00F85E75" w:rsidRDefault="009B247E" w:rsidP="0014098C">
            <w:pPr>
              <w:jc w:val="center"/>
              <w:rPr>
                <w:sz w:val="18"/>
                <w:szCs w:val="18"/>
              </w:rPr>
            </w:pPr>
            <w:r w:rsidRPr="00F85E75">
              <w:rPr>
                <w:sz w:val="18"/>
                <w:szCs w:val="18"/>
              </w:rPr>
              <w:t>Zużycie materiałów i energii</w:t>
            </w:r>
          </w:p>
        </w:tc>
      </w:tr>
      <w:tr w:rsidR="009B247E" w:rsidRPr="00F85E75" w:rsidTr="0014098C">
        <w:tc>
          <w:tcPr>
            <w:tcW w:w="444" w:type="dxa"/>
            <w:vAlign w:val="center"/>
          </w:tcPr>
          <w:p w:rsidR="009B247E" w:rsidRPr="00F85E75" w:rsidRDefault="009B247E" w:rsidP="0014098C">
            <w:pPr>
              <w:rPr>
                <w:sz w:val="18"/>
                <w:szCs w:val="18"/>
              </w:rPr>
            </w:pPr>
            <w:r w:rsidRPr="00F85E75">
              <w:rPr>
                <w:sz w:val="18"/>
                <w:szCs w:val="18"/>
              </w:rPr>
              <w:t xml:space="preserve">3. </w:t>
            </w:r>
          </w:p>
        </w:tc>
        <w:tc>
          <w:tcPr>
            <w:tcW w:w="3328" w:type="dxa"/>
            <w:vAlign w:val="center"/>
          </w:tcPr>
          <w:p w:rsidR="009B247E" w:rsidRPr="00F85E75" w:rsidRDefault="009B247E" w:rsidP="0014098C">
            <w:pPr>
              <w:rPr>
                <w:sz w:val="18"/>
                <w:szCs w:val="18"/>
              </w:rPr>
            </w:pPr>
            <w:r w:rsidRPr="00F85E75">
              <w:rPr>
                <w:sz w:val="18"/>
                <w:szCs w:val="18"/>
              </w:rPr>
              <w:t>Otrzymanie materiałów w formie darowizny</w:t>
            </w:r>
          </w:p>
        </w:tc>
        <w:tc>
          <w:tcPr>
            <w:tcW w:w="889" w:type="dxa"/>
            <w:vAlign w:val="center"/>
          </w:tcPr>
          <w:p w:rsidR="009B247E" w:rsidRPr="00F85E75" w:rsidRDefault="009B247E" w:rsidP="0014098C">
            <w:pPr>
              <w:rPr>
                <w:sz w:val="18"/>
                <w:szCs w:val="18"/>
              </w:rPr>
            </w:pPr>
            <w:r w:rsidRPr="00F85E75">
              <w:rPr>
                <w:sz w:val="18"/>
                <w:szCs w:val="18"/>
              </w:rPr>
              <w:t>PZ</w:t>
            </w:r>
          </w:p>
        </w:tc>
        <w:tc>
          <w:tcPr>
            <w:tcW w:w="2200" w:type="dxa"/>
            <w:vMerge/>
          </w:tcPr>
          <w:p w:rsidR="009B247E" w:rsidRPr="00F85E75" w:rsidRDefault="009B247E" w:rsidP="009B247E">
            <w:pPr>
              <w:jc w:val="both"/>
              <w:rPr>
                <w:sz w:val="18"/>
                <w:szCs w:val="18"/>
              </w:rPr>
            </w:pPr>
          </w:p>
        </w:tc>
        <w:tc>
          <w:tcPr>
            <w:tcW w:w="2201" w:type="dxa"/>
          </w:tcPr>
          <w:p w:rsidR="009B247E" w:rsidRPr="00F85E75" w:rsidRDefault="009B247E" w:rsidP="0014098C">
            <w:pPr>
              <w:jc w:val="center"/>
              <w:rPr>
                <w:sz w:val="18"/>
                <w:szCs w:val="18"/>
              </w:rPr>
            </w:pPr>
            <w:r w:rsidRPr="00F85E75">
              <w:rPr>
                <w:sz w:val="18"/>
                <w:szCs w:val="18"/>
              </w:rPr>
              <w:t>Pozostałe przychody operacyjne</w:t>
            </w:r>
          </w:p>
        </w:tc>
      </w:tr>
      <w:tr w:rsidR="009B247E" w:rsidRPr="00F85E75" w:rsidTr="0014098C">
        <w:tc>
          <w:tcPr>
            <w:tcW w:w="444" w:type="dxa"/>
            <w:vAlign w:val="center"/>
          </w:tcPr>
          <w:p w:rsidR="009B247E" w:rsidRPr="00F85E75" w:rsidRDefault="009B247E" w:rsidP="0014098C">
            <w:pPr>
              <w:rPr>
                <w:sz w:val="18"/>
                <w:szCs w:val="18"/>
              </w:rPr>
            </w:pPr>
            <w:r w:rsidRPr="00F85E75">
              <w:rPr>
                <w:sz w:val="18"/>
                <w:szCs w:val="18"/>
              </w:rPr>
              <w:t>4.</w:t>
            </w:r>
          </w:p>
        </w:tc>
        <w:tc>
          <w:tcPr>
            <w:tcW w:w="3328" w:type="dxa"/>
            <w:vAlign w:val="center"/>
          </w:tcPr>
          <w:p w:rsidR="009B247E" w:rsidRPr="00F85E75" w:rsidRDefault="009B247E" w:rsidP="0014098C">
            <w:pPr>
              <w:rPr>
                <w:sz w:val="18"/>
                <w:szCs w:val="18"/>
              </w:rPr>
            </w:pPr>
            <w:r w:rsidRPr="00F85E75">
              <w:rPr>
                <w:sz w:val="18"/>
                <w:szCs w:val="18"/>
              </w:rPr>
              <w:t>Nadwyżki inwentaryzacyjne</w:t>
            </w:r>
          </w:p>
        </w:tc>
        <w:tc>
          <w:tcPr>
            <w:tcW w:w="889" w:type="dxa"/>
            <w:vAlign w:val="center"/>
          </w:tcPr>
          <w:p w:rsidR="009B247E" w:rsidRPr="00F85E75" w:rsidRDefault="009B247E" w:rsidP="0014098C">
            <w:pPr>
              <w:rPr>
                <w:sz w:val="18"/>
                <w:szCs w:val="18"/>
              </w:rPr>
            </w:pPr>
            <w:r w:rsidRPr="00F85E75">
              <w:rPr>
                <w:sz w:val="18"/>
                <w:szCs w:val="18"/>
              </w:rPr>
              <w:t>PK</w:t>
            </w:r>
          </w:p>
        </w:tc>
        <w:tc>
          <w:tcPr>
            <w:tcW w:w="2200" w:type="dxa"/>
            <w:vMerge/>
          </w:tcPr>
          <w:p w:rsidR="009B247E" w:rsidRPr="00F85E75" w:rsidRDefault="009B247E" w:rsidP="009B247E">
            <w:pPr>
              <w:jc w:val="both"/>
              <w:rPr>
                <w:sz w:val="18"/>
                <w:szCs w:val="18"/>
              </w:rPr>
            </w:pPr>
          </w:p>
        </w:tc>
        <w:tc>
          <w:tcPr>
            <w:tcW w:w="2201" w:type="dxa"/>
          </w:tcPr>
          <w:p w:rsidR="009B247E" w:rsidRPr="00F85E75" w:rsidRDefault="009B247E" w:rsidP="0014098C">
            <w:pPr>
              <w:jc w:val="center"/>
              <w:rPr>
                <w:sz w:val="18"/>
                <w:szCs w:val="18"/>
              </w:rPr>
            </w:pPr>
            <w:r w:rsidRPr="00F85E75">
              <w:rPr>
                <w:sz w:val="18"/>
                <w:szCs w:val="18"/>
              </w:rPr>
              <w:t>Rozliczenie niedoborów i nadwyżek</w:t>
            </w:r>
          </w:p>
        </w:tc>
      </w:tr>
      <w:tr w:rsidR="009B247E" w:rsidRPr="00F85E75" w:rsidTr="0014098C">
        <w:tc>
          <w:tcPr>
            <w:tcW w:w="444" w:type="dxa"/>
            <w:vAlign w:val="center"/>
          </w:tcPr>
          <w:p w:rsidR="009B247E" w:rsidRPr="00F85E75" w:rsidRDefault="009B247E" w:rsidP="0014098C">
            <w:pPr>
              <w:rPr>
                <w:sz w:val="18"/>
                <w:szCs w:val="18"/>
              </w:rPr>
            </w:pPr>
            <w:r w:rsidRPr="00F85E75">
              <w:rPr>
                <w:sz w:val="18"/>
                <w:szCs w:val="18"/>
              </w:rPr>
              <w:t>5.</w:t>
            </w:r>
          </w:p>
        </w:tc>
        <w:tc>
          <w:tcPr>
            <w:tcW w:w="3328" w:type="dxa"/>
            <w:vAlign w:val="center"/>
          </w:tcPr>
          <w:p w:rsidR="009B247E" w:rsidRPr="00F85E75" w:rsidRDefault="009B247E" w:rsidP="0014098C">
            <w:pPr>
              <w:rPr>
                <w:sz w:val="18"/>
                <w:szCs w:val="18"/>
              </w:rPr>
            </w:pPr>
            <w:r w:rsidRPr="00F85E75">
              <w:rPr>
                <w:sz w:val="18"/>
                <w:szCs w:val="18"/>
              </w:rPr>
              <w:t>Podwyższenie wartości materiałów o kwotę odchylenia</w:t>
            </w:r>
          </w:p>
        </w:tc>
        <w:tc>
          <w:tcPr>
            <w:tcW w:w="889" w:type="dxa"/>
            <w:vAlign w:val="center"/>
          </w:tcPr>
          <w:p w:rsidR="009B247E" w:rsidRPr="00F85E75" w:rsidRDefault="009B247E" w:rsidP="0014098C">
            <w:pPr>
              <w:rPr>
                <w:sz w:val="18"/>
                <w:szCs w:val="18"/>
              </w:rPr>
            </w:pPr>
            <w:r w:rsidRPr="00F85E75">
              <w:rPr>
                <w:sz w:val="18"/>
                <w:szCs w:val="18"/>
              </w:rPr>
              <w:t>PK</w:t>
            </w:r>
          </w:p>
        </w:tc>
        <w:tc>
          <w:tcPr>
            <w:tcW w:w="2200" w:type="dxa"/>
            <w:vMerge/>
          </w:tcPr>
          <w:p w:rsidR="009B247E" w:rsidRPr="00F85E75" w:rsidRDefault="009B247E" w:rsidP="009B247E">
            <w:pPr>
              <w:jc w:val="both"/>
              <w:rPr>
                <w:sz w:val="18"/>
                <w:szCs w:val="18"/>
              </w:rPr>
            </w:pPr>
          </w:p>
        </w:tc>
        <w:tc>
          <w:tcPr>
            <w:tcW w:w="2201" w:type="dxa"/>
          </w:tcPr>
          <w:p w:rsidR="009B247E" w:rsidRPr="00F85E75" w:rsidRDefault="009B247E" w:rsidP="0014098C">
            <w:pPr>
              <w:jc w:val="center"/>
              <w:rPr>
                <w:sz w:val="18"/>
                <w:szCs w:val="18"/>
              </w:rPr>
            </w:pPr>
            <w:r w:rsidRPr="00F85E75">
              <w:rPr>
                <w:sz w:val="18"/>
                <w:szCs w:val="18"/>
              </w:rPr>
              <w:t>Odchylenia od cen ewidencyjnych materiałów</w:t>
            </w:r>
          </w:p>
        </w:tc>
      </w:tr>
      <w:tr w:rsidR="004E0A69" w:rsidRPr="00F85E75" w:rsidTr="0014098C">
        <w:tc>
          <w:tcPr>
            <w:tcW w:w="444" w:type="dxa"/>
            <w:vAlign w:val="center"/>
          </w:tcPr>
          <w:p w:rsidR="004E0A69" w:rsidRPr="00F85E75" w:rsidRDefault="004E0A69" w:rsidP="0014098C">
            <w:pPr>
              <w:rPr>
                <w:sz w:val="18"/>
                <w:szCs w:val="18"/>
              </w:rPr>
            </w:pPr>
            <w:r w:rsidRPr="00F85E75">
              <w:rPr>
                <w:sz w:val="18"/>
                <w:szCs w:val="18"/>
              </w:rPr>
              <w:t>6.</w:t>
            </w:r>
          </w:p>
        </w:tc>
        <w:tc>
          <w:tcPr>
            <w:tcW w:w="3328" w:type="dxa"/>
            <w:vAlign w:val="center"/>
          </w:tcPr>
          <w:p w:rsidR="004E0A69" w:rsidRPr="00F85E75" w:rsidRDefault="004E0A69" w:rsidP="0014098C">
            <w:pPr>
              <w:rPr>
                <w:sz w:val="18"/>
                <w:szCs w:val="18"/>
              </w:rPr>
            </w:pPr>
            <w:r w:rsidRPr="00F85E75">
              <w:rPr>
                <w:sz w:val="18"/>
                <w:szCs w:val="18"/>
              </w:rPr>
              <w:t>Wydanie materiałów do zużycia</w:t>
            </w:r>
          </w:p>
        </w:tc>
        <w:tc>
          <w:tcPr>
            <w:tcW w:w="889" w:type="dxa"/>
            <w:vAlign w:val="center"/>
          </w:tcPr>
          <w:p w:rsidR="004E0A69" w:rsidRPr="00F85E75" w:rsidRDefault="004E0A69" w:rsidP="0014098C">
            <w:pPr>
              <w:rPr>
                <w:sz w:val="18"/>
                <w:szCs w:val="18"/>
              </w:rPr>
            </w:pPr>
            <w:r w:rsidRPr="00F85E75">
              <w:rPr>
                <w:sz w:val="18"/>
                <w:szCs w:val="18"/>
              </w:rPr>
              <w:t>RW</w:t>
            </w:r>
          </w:p>
        </w:tc>
        <w:tc>
          <w:tcPr>
            <w:tcW w:w="2200" w:type="dxa"/>
          </w:tcPr>
          <w:p w:rsidR="004E0A69" w:rsidRPr="00F85E75" w:rsidRDefault="004E0A69" w:rsidP="0014098C">
            <w:pPr>
              <w:jc w:val="center"/>
              <w:rPr>
                <w:sz w:val="18"/>
                <w:szCs w:val="18"/>
              </w:rPr>
            </w:pPr>
            <w:r w:rsidRPr="00F85E75">
              <w:rPr>
                <w:sz w:val="18"/>
                <w:szCs w:val="18"/>
              </w:rPr>
              <w:t>Zużycie materiałów i energii</w:t>
            </w:r>
          </w:p>
        </w:tc>
        <w:tc>
          <w:tcPr>
            <w:tcW w:w="2201" w:type="dxa"/>
            <w:vMerge w:val="restart"/>
            <w:vAlign w:val="center"/>
          </w:tcPr>
          <w:p w:rsidR="004E0A69" w:rsidRPr="00F85E75" w:rsidRDefault="004E0A69" w:rsidP="004E0A69">
            <w:pPr>
              <w:jc w:val="center"/>
              <w:rPr>
                <w:sz w:val="18"/>
                <w:szCs w:val="18"/>
              </w:rPr>
            </w:pPr>
            <w:r w:rsidRPr="00F85E75">
              <w:rPr>
                <w:sz w:val="18"/>
                <w:szCs w:val="18"/>
              </w:rPr>
              <w:t>Materiały</w:t>
            </w:r>
          </w:p>
        </w:tc>
      </w:tr>
      <w:tr w:rsidR="004E0A69" w:rsidRPr="00F85E75" w:rsidTr="0014098C">
        <w:tc>
          <w:tcPr>
            <w:tcW w:w="444" w:type="dxa"/>
            <w:vAlign w:val="center"/>
          </w:tcPr>
          <w:p w:rsidR="004E0A69" w:rsidRPr="00F85E75" w:rsidRDefault="004E0A69" w:rsidP="0014098C">
            <w:pPr>
              <w:rPr>
                <w:sz w:val="18"/>
                <w:szCs w:val="18"/>
              </w:rPr>
            </w:pPr>
            <w:r w:rsidRPr="00F85E75">
              <w:rPr>
                <w:sz w:val="18"/>
                <w:szCs w:val="18"/>
              </w:rPr>
              <w:t>7.</w:t>
            </w:r>
          </w:p>
        </w:tc>
        <w:tc>
          <w:tcPr>
            <w:tcW w:w="3328" w:type="dxa"/>
            <w:vAlign w:val="center"/>
          </w:tcPr>
          <w:p w:rsidR="004E0A69" w:rsidRPr="00F85E75" w:rsidRDefault="004E0A69" w:rsidP="0014098C">
            <w:pPr>
              <w:rPr>
                <w:sz w:val="18"/>
                <w:szCs w:val="18"/>
              </w:rPr>
            </w:pPr>
            <w:r w:rsidRPr="00F85E75">
              <w:rPr>
                <w:sz w:val="18"/>
                <w:szCs w:val="18"/>
              </w:rPr>
              <w:t>Wydanie sprzedanych materiałów</w:t>
            </w:r>
          </w:p>
        </w:tc>
        <w:tc>
          <w:tcPr>
            <w:tcW w:w="889" w:type="dxa"/>
            <w:vAlign w:val="center"/>
          </w:tcPr>
          <w:p w:rsidR="004E0A69" w:rsidRPr="00F85E75" w:rsidRDefault="004E0A69" w:rsidP="0014098C">
            <w:pPr>
              <w:rPr>
                <w:sz w:val="18"/>
                <w:szCs w:val="18"/>
              </w:rPr>
            </w:pPr>
            <w:r w:rsidRPr="00F85E75">
              <w:rPr>
                <w:sz w:val="18"/>
                <w:szCs w:val="18"/>
              </w:rPr>
              <w:t>WZ</w:t>
            </w:r>
          </w:p>
        </w:tc>
        <w:tc>
          <w:tcPr>
            <w:tcW w:w="2200" w:type="dxa"/>
          </w:tcPr>
          <w:p w:rsidR="004E0A69" w:rsidRPr="00F85E75" w:rsidRDefault="004E0A69" w:rsidP="0014098C">
            <w:pPr>
              <w:jc w:val="center"/>
              <w:rPr>
                <w:sz w:val="18"/>
                <w:szCs w:val="18"/>
              </w:rPr>
            </w:pPr>
            <w:r w:rsidRPr="00F85E75">
              <w:rPr>
                <w:sz w:val="18"/>
                <w:szCs w:val="18"/>
              </w:rPr>
              <w:t>Wartość sprzedanych materiałów</w:t>
            </w:r>
          </w:p>
        </w:tc>
        <w:tc>
          <w:tcPr>
            <w:tcW w:w="2201" w:type="dxa"/>
            <w:vMerge/>
          </w:tcPr>
          <w:p w:rsidR="004E0A69" w:rsidRPr="00F85E75" w:rsidRDefault="004E0A69" w:rsidP="009B247E">
            <w:pPr>
              <w:jc w:val="both"/>
              <w:rPr>
                <w:sz w:val="18"/>
                <w:szCs w:val="18"/>
              </w:rPr>
            </w:pPr>
          </w:p>
        </w:tc>
      </w:tr>
      <w:tr w:rsidR="004E0A69" w:rsidRPr="00F85E75" w:rsidTr="0014098C">
        <w:tc>
          <w:tcPr>
            <w:tcW w:w="444" w:type="dxa"/>
            <w:vAlign w:val="center"/>
          </w:tcPr>
          <w:p w:rsidR="004E0A69" w:rsidRPr="00F85E75" w:rsidRDefault="004E0A69" w:rsidP="0014098C">
            <w:pPr>
              <w:rPr>
                <w:sz w:val="18"/>
                <w:szCs w:val="18"/>
              </w:rPr>
            </w:pPr>
            <w:r w:rsidRPr="00F85E75">
              <w:rPr>
                <w:sz w:val="18"/>
                <w:szCs w:val="18"/>
              </w:rPr>
              <w:t>8.</w:t>
            </w:r>
          </w:p>
        </w:tc>
        <w:tc>
          <w:tcPr>
            <w:tcW w:w="3328" w:type="dxa"/>
            <w:vAlign w:val="center"/>
          </w:tcPr>
          <w:p w:rsidR="004E0A69" w:rsidRPr="00F85E75" w:rsidRDefault="004E0A69" w:rsidP="0014098C">
            <w:pPr>
              <w:rPr>
                <w:sz w:val="18"/>
                <w:szCs w:val="18"/>
              </w:rPr>
            </w:pPr>
            <w:r w:rsidRPr="00F85E75">
              <w:rPr>
                <w:sz w:val="18"/>
                <w:szCs w:val="18"/>
              </w:rPr>
              <w:t>Niedobory inwentaryzacyjne</w:t>
            </w:r>
          </w:p>
        </w:tc>
        <w:tc>
          <w:tcPr>
            <w:tcW w:w="889" w:type="dxa"/>
            <w:vAlign w:val="center"/>
          </w:tcPr>
          <w:p w:rsidR="004E0A69" w:rsidRPr="00F85E75" w:rsidRDefault="004E0A69" w:rsidP="0014098C">
            <w:pPr>
              <w:rPr>
                <w:sz w:val="18"/>
                <w:szCs w:val="18"/>
              </w:rPr>
            </w:pPr>
            <w:r w:rsidRPr="00F85E75">
              <w:rPr>
                <w:sz w:val="18"/>
                <w:szCs w:val="18"/>
              </w:rPr>
              <w:t>PK</w:t>
            </w:r>
          </w:p>
        </w:tc>
        <w:tc>
          <w:tcPr>
            <w:tcW w:w="2200" w:type="dxa"/>
          </w:tcPr>
          <w:p w:rsidR="004E0A69" w:rsidRPr="00F85E75" w:rsidRDefault="004E0A69" w:rsidP="0014098C">
            <w:pPr>
              <w:jc w:val="center"/>
              <w:rPr>
                <w:sz w:val="18"/>
                <w:szCs w:val="18"/>
              </w:rPr>
            </w:pPr>
            <w:r w:rsidRPr="00F85E75">
              <w:rPr>
                <w:sz w:val="18"/>
                <w:szCs w:val="18"/>
              </w:rPr>
              <w:t>Rozliczenie niedoborów i nadwyżek</w:t>
            </w:r>
          </w:p>
        </w:tc>
        <w:tc>
          <w:tcPr>
            <w:tcW w:w="2201" w:type="dxa"/>
            <w:vMerge/>
          </w:tcPr>
          <w:p w:rsidR="004E0A69" w:rsidRPr="00F85E75" w:rsidRDefault="004E0A69" w:rsidP="009B247E">
            <w:pPr>
              <w:jc w:val="both"/>
              <w:rPr>
                <w:sz w:val="18"/>
                <w:szCs w:val="18"/>
              </w:rPr>
            </w:pPr>
          </w:p>
        </w:tc>
      </w:tr>
      <w:tr w:rsidR="004E0A69" w:rsidRPr="00F85E75" w:rsidTr="0014098C">
        <w:tc>
          <w:tcPr>
            <w:tcW w:w="444" w:type="dxa"/>
            <w:vAlign w:val="center"/>
          </w:tcPr>
          <w:p w:rsidR="004E0A69" w:rsidRPr="00F85E75" w:rsidRDefault="004E0A69" w:rsidP="0014098C">
            <w:pPr>
              <w:rPr>
                <w:sz w:val="18"/>
                <w:szCs w:val="18"/>
              </w:rPr>
            </w:pPr>
            <w:r w:rsidRPr="00F85E75">
              <w:rPr>
                <w:sz w:val="18"/>
                <w:szCs w:val="18"/>
              </w:rPr>
              <w:t>9.</w:t>
            </w:r>
          </w:p>
        </w:tc>
        <w:tc>
          <w:tcPr>
            <w:tcW w:w="3328" w:type="dxa"/>
            <w:vAlign w:val="center"/>
          </w:tcPr>
          <w:p w:rsidR="004E0A69" w:rsidRPr="00F85E75" w:rsidRDefault="004E0A69" w:rsidP="0014098C">
            <w:pPr>
              <w:rPr>
                <w:sz w:val="18"/>
                <w:szCs w:val="18"/>
              </w:rPr>
            </w:pPr>
            <w:r w:rsidRPr="00F85E75">
              <w:rPr>
                <w:sz w:val="18"/>
                <w:szCs w:val="18"/>
              </w:rPr>
              <w:t>Przekazanie materiałów na deputaty pracownicze</w:t>
            </w:r>
          </w:p>
        </w:tc>
        <w:tc>
          <w:tcPr>
            <w:tcW w:w="889" w:type="dxa"/>
            <w:vAlign w:val="center"/>
          </w:tcPr>
          <w:p w:rsidR="004E0A69" w:rsidRPr="00F85E75" w:rsidRDefault="004E0A69" w:rsidP="0014098C">
            <w:pPr>
              <w:rPr>
                <w:sz w:val="18"/>
                <w:szCs w:val="18"/>
              </w:rPr>
            </w:pPr>
            <w:r w:rsidRPr="00F85E75">
              <w:rPr>
                <w:sz w:val="18"/>
                <w:szCs w:val="18"/>
              </w:rPr>
              <w:t>WZ / LP</w:t>
            </w:r>
          </w:p>
        </w:tc>
        <w:tc>
          <w:tcPr>
            <w:tcW w:w="2200" w:type="dxa"/>
          </w:tcPr>
          <w:p w:rsidR="004E0A69" w:rsidRPr="00F85E75" w:rsidRDefault="004E0A69" w:rsidP="0014098C">
            <w:pPr>
              <w:jc w:val="center"/>
              <w:rPr>
                <w:sz w:val="18"/>
                <w:szCs w:val="18"/>
              </w:rPr>
            </w:pPr>
            <w:r w:rsidRPr="00F85E75">
              <w:rPr>
                <w:sz w:val="18"/>
                <w:szCs w:val="18"/>
              </w:rPr>
              <w:t>Rozrachunki z tytułu wynagrodzeń</w:t>
            </w:r>
          </w:p>
        </w:tc>
        <w:tc>
          <w:tcPr>
            <w:tcW w:w="2201" w:type="dxa"/>
            <w:vMerge/>
          </w:tcPr>
          <w:p w:rsidR="004E0A69" w:rsidRPr="00F85E75" w:rsidRDefault="004E0A69" w:rsidP="009B247E">
            <w:pPr>
              <w:jc w:val="both"/>
              <w:rPr>
                <w:sz w:val="18"/>
                <w:szCs w:val="18"/>
              </w:rPr>
            </w:pPr>
          </w:p>
        </w:tc>
      </w:tr>
      <w:tr w:rsidR="004E0A69" w:rsidRPr="00F85E75" w:rsidTr="0014098C">
        <w:tc>
          <w:tcPr>
            <w:tcW w:w="444" w:type="dxa"/>
            <w:vAlign w:val="center"/>
          </w:tcPr>
          <w:p w:rsidR="004E0A69" w:rsidRPr="00F85E75" w:rsidRDefault="004E0A69" w:rsidP="0014098C">
            <w:pPr>
              <w:rPr>
                <w:sz w:val="18"/>
                <w:szCs w:val="18"/>
              </w:rPr>
            </w:pPr>
            <w:r w:rsidRPr="00F85E75">
              <w:rPr>
                <w:sz w:val="18"/>
                <w:szCs w:val="18"/>
              </w:rPr>
              <w:t>10.</w:t>
            </w:r>
          </w:p>
        </w:tc>
        <w:tc>
          <w:tcPr>
            <w:tcW w:w="3328" w:type="dxa"/>
            <w:vAlign w:val="center"/>
          </w:tcPr>
          <w:p w:rsidR="004E0A69" w:rsidRPr="00F85E75" w:rsidRDefault="004E0A69" w:rsidP="0014098C">
            <w:pPr>
              <w:rPr>
                <w:sz w:val="18"/>
                <w:szCs w:val="18"/>
              </w:rPr>
            </w:pPr>
            <w:r w:rsidRPr="00F85E75">
              <w:rPr>
                <w:sz w:val="18"/>
                <w:szCs w:val="18"/>
              </w:rPr>
              <w:t>Zniszczenie materiałów na skutek zdarzeń losowych</w:t>
            </w:r>
          </w:p>
        </w:tc>
        <w:tc>
          <w:tcPr>
            <w:tcW w:w="889" w:type="dxa"/>
            <w:vAlign w:val="center"/>
          </w:tcPr>
          <w:p w:rsidR="004E0A69" w:rsidRPr="00F85E75" w:rsidRDefault="004E0A69" w:rsidP="0014098C">
            <w:pPr>
              <w:rPr>
                <w:sz w:val="18"/>
                <w:szCs w:val="18"/>
              </w:rPr>
            </w:pPr>
            <w:r w:rsidRPr="00F85E75">
              <w:rPr>
                <w:sz w:val="18"/>
                <w:szCs w:val="18"/>
              </w:rPr>
              <w:t>PK</w:t>
            </w:r>
          </w:p>
        </w:tc>
        <w:tc>
          <w:tcPr>
            <w:tcW w:w="2200" w:type="dxa"/>
          </w:tcPr>
          <w:p w:rsidR="004E0A69" w:rsidRPr="00F85E75" w:rsidRDefault="004E0A69" w:rsidP="0014098C">
            <w:pPr>
              <w:jc w:val="center"/>
              <w:rPr>
                <w:sz w:val="18"/>
                <w:szCs w:val="18"/>
              </w:rPr>
            </w:pPr>
            <w:r w:rsidRPr="00F85E75">
              <w:rPr>
                <w:sz w:val="18"/>
                <w:szCs w:val="18"/>
              </w:rPr>
              <w:t>Pozostałe koszty operacyjne</w:t>
            </w:r>
          </w:p>
        </w:tc>
        <w:tc>
          <w:tcPr>
            <w:tcW w:w="2201" w:type="dxa"/>
            <w:vMerge/>
          </w:tcPr>
          <w:p w:rsidR="004E0A69" w:rsidRPr="00F85E75" w:rsidRDefault="004E0A69" w:rsidP="009B247E">
            <w:pPr>
              <w:jc w:val="both"/>
              <w:rPr>
                <w:sz w:val="18"/>
                <w:szCs w:val="18"/>
              </w:rPr>
            </w:pPr>
          </w:p>
        </w:tc>
      </w:tr>
      <w:tr w:rsidR="004E0A69" w:rsidRPr="00F85E75" w:rsidTr="0014098C">
        <w:tc>
          <w:tcPr>
            <w:tcW w:w="444" w:type="dxa"/>
            <w:vAlign w:val="center"/>
          </w:tcPr>
          <w:p w:rsidR="004E0A69" w:rsidRPr="00F85E75" w:rsidRDefault="004E0A69" w:rsidP="0014098C">
            <w:pPr>
              <w:rPr>
                <w:sz w:val="18"/>
                <w:szCs w:val="18"/>
              </w:rPr>
            </w:pPr>
            <w:r w:rsidRPr="00F85E75">
              <w:rPr>
                <w:sz w:val="18"/>
                <w:szCs w:val="18"/>
              </w:rPr>
              <w:t>11.</w:t>
            </w:r>
          </w:p>
        </w:tc>
        <w:tc>
          <w:tcPr>
            <w:tcW w:w="3328" w:type="dxa"/>
            <w:vAlign w:val="center"/>
          </w:tcPr>
          <w:p w:rsidR="004E0A69" w:rsidRPr="00F85E75" w:rsidRDefault="004E0A69" w:rsidP="0014098C">
            <w:pPr>
              <w:rPr>
                <w:sz w:val="18"/>
                <w:szCs w:val="18"/>
              </w:rPr>
            </w:pPr>
            <w:r w:rsidRPr="00F85E75">
              <w:rPr>
                <w:sz w:val="18"/>
                <w:szCs w:val="18"/>
              </w:rPr>
              <w:t xml:space="preserve">Zmniejszenie wartości materiałów o </w:t>
            </w:r>
            <w:r w:rsidR="00F85E75" w:rsidRPr="00F85E75">
              <w:rPr>
                <w:sz w:val="18"/>
                <w:szCs w:val="18"/>
              </w:rPr>
              <w:t>odchylenia</w:t>
            </w:r>
          </w:p>
        </w:tc>
        <w:tc>
          <w:tcPr>
            <w:tcW w:w="889" w:type="dxa"/>
            <w:vAlign w:val="center"/>
          </w:tcPr>
          <w:p w:rsidR="004E0A69" w:rsidRPr="00F85E75" w:rsidRDefault="004E0A69" w:rsidP="0014098C">
            <w:pPr>
              <w:rPr>
                <w:sz w:val="18"/>
                <w:szCs w:val="18"/>
              </w:rPr>
            </w:pPr>
            <w:r w:rsidRPr="00F85E75">
              <w:rPr>
                <w:sz w:val="18"/>
                <w:szCs w:val="18"/>
              </w:rPr>
              <w:t>PK</w:t>
            </w:r>
          </w:p>
        </w:tc>
        <w:tc>
          <w:tcPr>
            <w:tcW w:w="2200" w:type="dxa"/>
          </w:tcPr>
          <w:p w:rsidR="004E0A69" w:rsidRPr="00F85E75" w:rsidRDefault="004E0A69" w:rsidP="0014098C">
            <w:pPr>
              <w:jc w:val="center"/>
              <w:rPr>
                <w:sz w:val="18"/>
                <w:szCs w:val="18"/>
              </w:rPr>
            </w:pPr>
            <w:r w:rsidRPr="00F85E75">
              <w:rPr>
                <w:sz w:val="18"/>
                <w:szCs w:val="18"/>
              </w:rPr>
              <w:t>Odchylenia od cen ewidencyjnych materiałów</w:t>
            </w:r>
          </w:p>
        </w:tc>
        <w:tc>
          <w:tcPr>
            <w:tcW w:w="2201" w:type="dxa"/>
            <w:vMerge/>
          </w:tcPr>
          <w:p w:rsidR="004E0A69" w:rsidRPr="00F85E75" w:rsidRDefault="004E0A69" w:rsidP="009B247E">
            <w:pPr>
              <w:jc w:val="both"/>
              <w:rPr>
                <w:sz w:val="18"/>
                <w:szCs w:val="18"/>
              </w:rPr>
            </w:pPr>
          </w:p>
        </w:tc>
      </w:tr>
    </w:tbl>
    <w:p w:rsidR="009B247E" w:rsidRDefault="009B247E" w:rsidP="009B247E">
      <w:pPr>
        <w:jc w:val="both"/>
      </w:pPr>
    </w:p>
    <w:p w:rsidR="00A40C63" w:rsidRDefault="008F6E48" w:rsidP="009B247E">
      <w:pPr>
        <w:jc w:val="both"/>
      </w:pPr>
      <w:r>
        <w:t>Ewidencja odchyleń od cen ewidencyjnych</w:t>
      </w:r>
    </w:p>
    <w:tbl>
      <w:tblPr>
        <w:tblStyle w:val="Tabela-Siatka"/>
        <w:tblW w:w="0" w:type="auto"/>
        <w:tblLook w:val="04A0" w:firstRow="1" w:lastRow="0" w:firstColumn="1" w:lastColumn="0" w:noHBand="0" w:noVBand="1"/>
      </w:tblPr>
      <w:tblGrid>
        <w:gridCol w:w="444"/>
        <w:gridCol w:w="3328"/>
        <w:gridCol w:w="889"/>
        <w:gridCol w:w="2200"/>
        <w:gridCol w:w="2201"/>
      </w:tblGrid>
      <w:tr w:rsidR="008F6E48" w:rsidRPr="00F85E75" w:rsidTr="00163974">
        <w:tc>
          <w:tcPr>
            <w:tcW w:w="444" w:type="dxa"/>
            <w:vAlign w:val="center"/>
          </w:tcPr>
          <w:p w:rsidR="008F6E48" w:rsidRPr="00F85E75" w:rsidRDefault="008F6E48" w:rsidP="00163974">
            <w:pPr>
              <w:jc w:val="center"/>
              <w:rPr>
                <w:sz w:val="18"/>
                <w:szCs w:val="18"/>
              </w:rPr>
            </w:pPr>
            <w:r w:rsidRPr="00F85E75">
              <w:rPr>
                <w:sz w:val="18"/>
                <w:szCs w:val="18"/>
              </w:rPr>
              <w:t>Lp.</w:t>
            </w:r>
          </w:p>
        </w:tc>
        <w:tc>
          <w:tcPr>
            <w:tcW w:w="3328" w:type="dxa"/>
            <w:vAlign w:val="center"/>
          </w:tcPr>
          <w:p w:rsidR="008F6E48" w:rsidRPr="00F85E75" w:rsidRDefault="008F6E48" w:rsidP="00163974">
            <w:pPr>
              <w:jc w:val="center"/>
              <w:rPr>
                <w:sz w:val="18"/>
                <w:szCs w:val="18"/>
              </w:rPr>
            </w:pPr>
            <w:r w:rsidRPr="00F85E75">
              <w:rPr>
                <w:sz w:val="18"/>
                <w:szCs w:val="18"/>
              </w:rPr>
              <w:t>Treść operacji</w:t>
            </w:r>
          </w:p>
        </w:tc>
        <w:tc>
          <w:tcPr>
            <w:tcW w:w="889" w:type="dxa"/>
            <w:vAlign w:val="center"/>
          </w:tcPr>
          <w:p w:rsidR="008F6E48" w:rsidRPr="00F85E75" w:rsidRDefault="008F6E48" w:rsidP="00163974">
            <w:pPr>
              <w:jc w:val="center"/>
              <w:rPr>
                <w:sz w:val="18"/>
                <w:szCs w:val="18"/>
              </w:rPr>
            </w:pPr>
            <w:r w:rsidRPr="00F85E75">
              <w:rPr>
                <w:sz w:val="18"/>
                <w:szCs w:val="18"/>
              </w:rPr>
              <w:t>Dowód księgowy</w:t>
            </w:r>
          </w:p>
        </w:tc>
        <w:tc>
          <w:tcPr>
            <w:tcW w:w="2200" w:type="dxa"/>
            <w:vAlign w:val="center"/>
          </w:tcPr>
          <w:p w:rsidR="008F6E48" w:rsidRPr="00F85E75" w:rsidRDefault="008F6E48" w:rsidP="00163974">
            <w:pPr>
              <w:jc w:val="center"/>
              <w:rPr>
                <w:sz w:val="18"/>
                <w:szCs w:val="18"/>
              </w:rPr>
            </w:pPr>
            <w:r w:rsidRPr="00F85E75">
              <w:rPr>
                <w:sz w:val="18"/>
                <w:szCs w:val="18"/>
              </w:rPr>
              <w:t xml:space="preserve">Konto </w:t>
            </w:r>
            <w:proofErr w:type="spellStart"/>
            <w:r w:rsidRPr="00F85E75">
              <w:rPr>
                <w:sz w:val="18"/>
                <w:szCs w:val="18"/>
              </w:rPr>
              <w:t>Wn</w:t>
            </w:r>
            <w:proofErr w:type="spellEnd"/>
          </w:p>
        </w:tc>
        <w:tc>
          <w:tcPr>
            <w:tcW w:w="2201" w:type="dxa"/>
            <w:vAlign w:val="center"/>
          </w:tcPr>
          <w:p w:rsidR="008F6E48" w:rsidRPr="00F85E75" w:rsidRDefault="008F6E48" w:rsidP="00163974">
            <w:pPr>
              <w:jc w:val="center"/>
              <w:rPr>
                <w:sz w:val="18"/>
                <w:szCs w:val="18"/>
              </w:rPr>
            </w:pPr>
            <w:r w:rsidRPr="00F85E75">
              <w:rPr>
                <w:sz w:val="18"/>
                <w:szCs w:val="18"/>
              </w:rPr>
              <w:t>Konto Ma</w:t>
            </w:r>
          </w:p>
        </w:tc>
      </w:tr>
      <w:tr w:rsidR="008F6E48" w:rsidRPr="00F85E75" w:rsidTr="00132D01">
        <w:tc>
          <w:tcPr>
            <w:tcW w:w="444" w:type="dxa"/>
            <w:vAlign w:val="center"/>
          </w:tcPr>
          <w:p w:rsidR="008F6E48" w:rsidRPr="00F85E75" w:rsidRDefault="008F6E48" w:rsidP="00163974">
            <w:pPr>
              <w:rPr>
                <w:sz w:val="18"/>
                <w:szCs w:val="18"/>
              </w:rPr>
            </w:pPr>
            <w:r w:rsidRPr="00F85E75">
              <w:rPr>
                <w:sz w:val="18"/>
                <w:szCs w:val="18"/>
              </w:rPr>
              <w:t>1.</w:t>
            </w:r>
          </w:p>
        </w:tc>
        <w:tc>
          <w:tcPr>
            <w:tcW w:w="3328" w:type="dxa"/>
            <w:vAlign w:val="center"/>
          </w:tcPr>
          <w:p w:rsidR="008F6E48" w:rsidRPr="00F85E75" w:rsidRDefault="008F6E48" w:rsidP="00163974">
            <w:pPr>
              <w:rPr>
                <w:sz w:val="18"/>
                <w:szCs w:val="18"/>
              </w:rPr>
            </w:pPr>
            <w:r>
              <w:rPr>
                <w:sz w:val="18"/>
                <w:szCs w:val="18"/>
              </w:rPr>
              <w:t>Zaksięgowanie debetowego odchylenia od cen ewidencyjnych materiałów po ich nabyciu i przyjęciu (stała cena ewidencyjna jest niższa od ceny rzeczywistej)</w:t>
            </w:r>
          </w:p>
        </w:tc>
        <w:tc>
          <w:tcPr>
            <w:tcW w:w="889" w:type="dxa"/>
            <w:vAlign w:val="center"/>
          </w:tcPr>
          <w:p w:rsidR="008F6E48" w:rsidRPr="00F85E75" w:rsidRDefault="008F6E48" w:rsidP="00132D01">
            <w:pPr>
              <w:jc w:val="center"/>
              <w:rPr>
                <w:sz w:val="18"/>
                <w:szCs w:val="18"/>
              </w:rPr>
            </w:pPr>
            <w:r>
              <w:rPr>
                <w:sz w:val="18"/>
                <w:szCs w:val="18"/>
              </w:rPr>
              <w:t>PK</w:t>
            </w:r>
          </w:p>
        </w:tc>
        <w:tc>
          <w:tcPr>
            <w:tcW w:w="2200" w:type="dxa"/>
            <w:vAlign w:val="center"/>
          </w:tcPr>
          <w:p w:rsidR="008F6E48" w:rsidRPr="00F85E75" w:rsidRDefault="008F6E48" w:rsidP="00132D01">
            <w:pPr>
              <w:jc w:val="center"/>
              <w:rPr>
                <w:sz w:val="18"/>
                <w:szCs w:val="18"/>
              </w:rPr>
            </w:pPr>
            <w:r>
              <w:rPr>
                <w:sz w:val="18"/>
                <w:szCs w:val="18"/>
              </w:rPr>
              <w:t>Odchylenia od cen ewidencyjnych materiałów</w:t>
            </w:r>
          </w:p>
        </w:tc>
        <w:tc>
          <w:tcPr>
            <w:tcW w:w="2201" w:type="dxa"/>
            <w:vAlign w:val="center"/>
          </w:tcPr>
          <w:p w:rsidR="008F6E48" w:rsidRPr="00F85E75" w:rsidRDefault="008F6E48" w:rsidP="00132D01">
            <w:pPr>
              <w:jc w:val="center"/>
              <w:rPr>
                <w:sz w:val="18"/>
                <w:szCs w:val="18"/>
              </w:rPr>
            </w:pPr>
            <w:r>
              <w:rPr>
                <w:sz w:val="18"/>
                <w:szCs w:val="18"/>
              </w:rPr>
              <w:t>Rozliczenie zakupu</w:t>
            </w:r>
          </w:p>
        </w:tc>
      </w:tr>
      <w:tr w:rsidR="008F6E48" w:rsidRPr="00F85E75" w:rsidTr="00132D01">
        <w:tc>
          <w:tcPr>
            <w:tcW w:w="444" w:type="dxa"/>
            <w:vAlign w:val="center"/>
          </w:tcPr>
          <w:p w:rsidR="008F6E48" w:rsidRPr="00F85E75" w:rsidRDefault="008F6E48" w:rsidP="00163974">
            <w:pPr>
              <w:rPr>
                <w:sz w:val="18"/>
                <w:szCs w:val="18"/>
              </w:rPr>
            </w:pPr>
            <w:r w:rsidRPr="00F85E75">
              <w:rPr>
                <w:sz w:val="18"/>
                <w:szCs w:val="18"/>
              </w:rPr>
              <w:t xml:space="preserve">2. </w:t>
            </w:r>
          </w:p>
        </w:tc>
        <w:tc>
          <w:tcPr>
            <w:tcW w:w="3328" w:type="dxa"/>
            <w:vAlign w:val="center"/>
          </w:tcPr>
          <w:p w:rsidR="008F6E48" w:rsidRPr="00F85E75" w:rsidRDefault="008F6E48" w:rsidP="00163974">
            <w:pPr>
              <w:rPr>
                <w:sz w:val="18"/>
                <w:szCs w:val="18"/>
              </w:rPr>
            </w:pPr>
            <w:r>
              <w:rPr>
                <w:sz w:val="18"/>
                <w:szCs w:val="18"/>
              </w:rPr>
              <w:t>Zaksięgowanie kredytowego</w:t>
            </w:r>
            <w:r>
              <w:rPr>
                <w:sz w:val="18"/>
                <w:szCs w:val="18"/>
              </w:rPr>
              <w:t xml:space="preserve"> odchylenia od cen ewidencyjnych materiałów po ich nabyciu i przyjęciu (stała cena ewidencyjna jest </w:t>
            </w:r>
            <w:r>
              <w:rPr>
                <w:sz w:val="18"/>
                <w:szCs w:val="18"/>
              </w:rPr>
              <w:t>wyższa</w:t>
            </w:r>
            <w:r>
              <w:rPr>
                <w:sz w:val="18"/>
                <w:szCs w:val="18"/>
              </w:rPr>
              <w:t xml:space="preserve"> od ceny rzeczywistej)</w:t>
            </w:r>
          </w:p>
        </w:tc>
        <w:tc>
          <w:tcPr>
            <w:tcW w:w="889" w:type="dxa"/>
            <w:vAlign w:val="center"/>
          </w:tcPr>
          <w:p w:rsidR="008F6E48" w:rsidRPr="00F85E75" w:rsidRDefault="008F6E48" w:rsidP="00132D01">
            <w:pPr>
              <w:jc w:val="center"/>
              <w:rPr>
                <w:sz w:val="18"/>
                <w:szCs w:val="18"/>
              </w:rPr>
            </w:pPr>
            <w:r>
              <w:rPr>
                <w:sz w:val="18"/>
                <w:szCs w:val="18"/>
              </w:rPr>
              <w:t>PK</w:t>
            </w:r>
          </w:p>
        </w:tc>
        <w:tc>
          <w:tcPr>
            <w:tcW w:w="2200" w:type="dxa"/>
            <w:vAlign w:val="center"/>
          </w:tcPr>
          <w:p w:rsidR="008F6E48" w:rsidRPr="00F85E75" w:rsidRDefault="008F6E48" w:rsidP="00132D01">
            <w:pPr>
              <w:jc w:val="center"/>
              <w:rPr>
                <w:sz w:val="18"/>
                <w:szCs w:val="18"/>
              </w:rPr>
            </w:pPr>
            <w:r>
              <w:rPr>
                <w:sz w:val="18"/>
                <w:szCs w:val="18"/>
              </w:rPr>
              <w:t>Rozliczenie zakupu</w:t>
            </w:r>
          </w:p>
        </w:tc>
        <w:tc>
          <w:tcPr>
            <w:tcW w:w="2201" w:type="dxa"/>
            <w:vAlign w:val="center"/>
          </w:tcPr>
          <w:p w:rsidR="008F6E48" w:rsidRPr="00F85E75" w:rsidRDefault="008F6E48" w:rsidP="00132D01">
            <w:pPr>
              <w:jc w:val="center"/>
              <w:rPr>
                <w:sz w:val="18"/>
                <w:szCs w:val="18"/>
              </w:rPr>
            </w:pPr>
            <w:r>
              <w:rPr>
                <w:sz w:val="18"/>
                <w:szCs w:val="18"/>
              </w:rPr>
              <w:t>Odchylenia od cen ew</w:t>
            </w:r>
            <w:bookmarkStart w:id="0" w:name="_GoBack"/>
            <w:bookmarkEnd w:id="0"/>
            <w:r>
              <w:rPr>
                <w:sz w:val="18"/>
                <w:szCs w:val="18"/>
              </w:rPr>
              <w:t>idencyjnych materiałów</w:t>
            </w:r>
          </w:p>
        </w:tc>
      </w:tr>
      <w:tr w:rsidR="008F6E48" w:rsidRPr="00F85E75" w:rsidTr="00132D01">
        <w:tc>
          <w:tcPr>
            <w:tcW w:w="444" w:type="dxa"/>
            <w:vAlign w:val="center"/>
          </w:tcPr>
          <w:p w:rsidR="008F6E48" w:rsidRPr="00F85E75" w:rsidRDefault="008F6E48" w:rsidP="00163974">
            <w:pPr>
              <w:rPr>
                <w:sz w:val="18"/>
                <w:szCs w:val="18"/>
              </w:rPr>
            </w:pPr>
            <w:r w:rsidRPr="00F85E75">
              <w:rPr>
                <w:sz w:val="18"/>
                <w:szCs w:val="18"/>
              </w:rPr>
              <w:t xml:space="preserve">3. </w:t>
            </w:r>
          </w:p>
        </w:tc>
        <w:tc>
          <w:tcPr>
            <w:tcW w:w="3328" w:type="dxa"/>
            <w:vAlign w:val="center"/>
          </w:tcPr>
          <w:p w:rsidR="008F6E48" w:rsidRPr="00F85E75" w:rsidRDefault="008F6E48" w:rsidP="00163974">
            <w:pPr>
              <w:rPr>
                <w:sz w:val="18"/>
                <w:szCs w:val="18"/>
              </w:rPr>
            </w:pPr>
            <w:r>
              <w:rPr>
                <w:sz w:val="18"/>
                <w:szCs w:val="18"/>
              </w:rPr>
              <w:t>Rozliczenie debetowego odchylenia od cen ewidencyjnych przypadającego na materiały zużyte (kwota dodatnia)</w:t>
            </w:r>
          </w:p>
        </w:tc>
        <w:tc>
          <w:tcPr>
            <w:tcW w:w="889" w:type="dxa"/>
            <w:vAlign w:val="center"/>
          </w:tcPr>
          <w:p w:rsidR="008F6E48" w:rsidRPr="00F85E75" w:rsidRDefault="008F6E48" w:rsidP="00132D01">
            <w:pPr>
              <w:jc w:val="center"/>
              <w:rPr>
                <w:sz w:val="18"/>
                <w:szCs w:val="18"/>
              </w:rPr>
            </w:pPr>
            <w:r>
              <w:rPr>
                <w:sz w:val="18"/>
                <w:szCs w:val="18"/>
              </w:rPr>
              <w:t>PK</w:t>
            </w:r>
          </w:p>
        </w:tc>
        <w:tc>
          <w:tcPr>
            <w:tcW w:w="2200" w:type="dxa"/>
            <w:vAlign w:val="center"/>
          </w:tcPr>
          <w:p w:rsidR="008F6E48" w:rsidRPr="00F85E75" w:rsidRDefault="008F6E48" w:rsidP="00132D01">
            <w:pPr>
              <w:jc w:val="center"/>
              <w:rPr>
                <w:sz w:val="18"/>
                <w:szCs w:val="18"/>
              </w:rPr>
            </w:pPr>
            <w:r>
              <w:rPr>
                <w:sz w:val="18"/>
                <w:szCs w:val="18"/>
              </w:rPr>
              <w:t>Zużycie materiałów i energii</w:t>
            </w:r>
          </w:p>
        </w:tc>
        <w:tc>
          <w:tcPr>
            <w:tcW w:w="2201" w:type="dxa"/>
            <w:vAlign w:val="center"/>
          </w:tcPr>
          <w:p w:rsidR="008F6E48" w:rsidRPr="00F85E75" w:rsidRDefault="008F6E48" w:rsidP="00132D01">
            <w:pPr>
              <w:jc w:val="center"/>
              <w:rPr>
                <w:sz w:val="18"/>
                <w:szCs w:val="18"/>
              </w:rPr>
            </w:pPr>
            <w:r>
              <w:rPr>
                <w:sz w:val="18"/>
                <w:szCs w:val="18"/>
              </w:rPr>
              <w:t>Odchylenia od cen ewidencyjnych materiałów</w:t>
            </w:r>
          </w:p>
        </w:tc>
      </w:tr>
      <w:tr w:rsidR="00132D01" w:rsidRPr="00F85E75" w:rsidTr="00132D01">
        <w:tc>
          <w:tcPr>
            <w:tcW w:w="444" w:type="dxa"/>
            <w:vAlign w:val="center"/>
          </w:tcPr>
          <w:p w:rsidR="00132D01" w:rsidRPr="00F85E75" w:rsidRDefault="00132D01" w:rsidP="00132D01">
            <w:pPr>
              <w:rPr>
                <w:sz w:val="18"/>
                <w:szCs w:val="18"/>
              </w:rPr>
            </w:pPr>
            <w:r w:rsidRPr="00F85E75">
              <w:rPr>
                <w:sz w:val="18"/>
                <w:szCs w:val="18"/>
              </w:rPr>
              <w:t>4.</w:t>
            </w:r>
          </w:p>
        </w:tc>
        <w:tc>
          <w:tcPr>
            <w:tcW w:w="3328" w:type="dxa"/>
            <w:vAlign w:val="center"/>
          </w:tcPr>
          <w:p w:rsidR="00132D01" w:rsidRPr="00F85E75" w:rsidRDefault="00132D01" w:rsidP="00132D01">
            <w:pPr>
              <w:rPr>
                <w:sz w:val="18"/>
                <w:szCs w:val="18"/>
              </w:rPr>
            </w:pPr>
            <w:r>
              <w:rPr>
                <w:sz w:val="18"/>
                <w:szCs w:val="18"/>
              </w:rPr>
              <w:t xml:space="preserve">Rozliczenie </w:t>
            </w:r>
            <w:r>
              <w:rPr>
                <w:sz w:val="18"/>
                <w:szCs w:val="18"/>
              </w:rPr>
              <w:t>kredytowego</w:t>
            </w:r>
            <w:r>
              <w:rPr>
                <w:sz w:val="18"/>
                <w:szCs w:val="18"/>
              </w:rPr>
              <w:t xml:space="preserve"> odchylenia od cen ewidencyjnych przypadającego na materiały zużyte (kwota </w:t>
            </w:r>
            <w:r>
              <w:rPr>
                <w:sz w:val="18"/>
                <w:szCs w:val="18"/>
              </w:rPr>
              <w:t>ujemna</w:t>
            </w:r>
            <w:r>
              <w:rPr>
                <w:sz w:val="18"/>
                <w:szCs w:val="18"/>
              </w:rPr>
              <w:t>)</w:t>
            </w:r>
          </w:p>
        </w:tc>
        <w:tc>
          <w:tcPr>
            <w:tcW w:w="889" w:type="dxa"/>
            <w:vAlign w:val="center"/>
          </w:tcPr>
          <w:p w:rsidR="00132D01" w:rsidRPr="00F85E75" w:rsidRDefault="00132D01" w:rsidP="00132D01">
            <w:pPr>
              <w:jc w:val="center"/>
              <w:rPr>
                <w:sz w:val="18"/>
                <w:szCs w:val="18"/>
              </w:rPr>
            </w:pPr>
            <w:r>
              <w:rPr>
                <w:sz w:val="18"/>
                <w:szCs w:val="18"/>
              </w:rPr>
              <w:t>PK</w:t>
            </w:r>
          </w:p>
        </w:tc>
        <w:tc>
          <w:tcPr>
            <w:tcW w:w="2200" w:type="dxa"/>
            <w:vAlign w:val="center"/>
          </w:tcPr>
          <w:p w:rsidR="00132D01" w:rsidRPr="00F85E75" w:rsidRDefault="00132D01" w:rsidP="00132D01">
            <w:pPr>
              <w:jc w:val="center"/>
              <w:rPr>
                <w:sz w:val="18"/>
                <w:szCs w:val="18"/>
              </w:rPr>
            </w:pPr>
            <w:r>
              <w:rPr>
                <w:sz w:val="18"/>
                <w:szCs w:val="18"/>
              </w:rPr>
              <w:t>Zużycie materiałów i energii</w:t>
            </w:r>
          </w:p>
        </w:tc>
        <w:tc>
          <w:tcPr>
            <w:tcW w:w="2201" w:type="dxa"/>
            <w:vAlign w:val="center"/>
          </w:tcPr>
          <w:p w:rsidR="00132D01" w:rsidRPr="00F85E75" w:rsidRDefault="00132D01" w:rsidP="00132D01">
            <w:pPr>
              <w:jc w:val="center"/>
              <w:rPr>
                <w:sz w:val="18"/>
                <w:szCs w:val="18"/>
              </w:rPr>
            </w:pPr>
            <w:r>
              <w:rPr>
                <w:sz w:val="18"/>
                <w:szCs w:val="18"/>
              </w:rPr>
              <w:t>Odchylenia od cen ewidencyjnych materiałów</w:t>
            </w:r>
          </w:p>
        </w:tc>
      </w:tr>
      <w:tr w:rsidR="00132D01" w:rsidRPr="00F85E75" w:rsidTr="00132D01">
        <w:tc>
          <w:tcPr>
            <w:tcW w:w="444" w:type="dxa"/>
            <w:vAlign w:val="center"/>
          </w:tcPr>
          <w:p w:rsidR="00132D01" w:rsidRPr="00F85E75" w:rsidRDefault="00132D01" w:rsidP="00132D01">
            <w:pPr>
              <w:rPr>
                <w:sz w:val="18"/>
                <w:szCs w:val="18"/>
              </w:rPr>
            </w:pPr>
            <w:r w:rsidRPr="00F85E75">
              <w:rPr>
                <w:sz w:val="18"/>
                <w:szCs w:val="18"/>
              </w:rPr>
              <w:t>5.</w:t>
            </w:r>
          </w:p>
        </w:tc>
        <w:tc>
          <w:tcPr>
            <w:tcW w:w="3328" w:type="dxa"/>
            <w:vAlign w:val="center"/>
          </w:tcPr>
          <w:p w:rsidR="00132D01" w:rsidRPr="00F85E75" w:rsidRDefault="00132D01" w:rsidP="00132D01">
            <w:pPr>
              <w:rPr>
                <w:sz w:val="18"/>
                <w:szCs w:val="18"/>
              </w:rPr>
            </w:pPr>
            <w:r>
              <w:rPr>
                <w:sz w:val="18"/>
                <w:szCs w:val="18"/>
              </w:rPr>
              <w:t>Rozliczenie debetowego odchylenia od cen ewidencyjnych przypadającego na materiały sprzedane (kwota dodatnia)</w:t>
            </w:r>
          </w:p>
        </w:tc>
        <w:tc>
          <w:tcPr>
            <w:tcW w:w="889" w:type="dxa"/>
            <w:vAlign w:val="center"/>
          </w:tcPr>
          <w:p w:rsidR="00132D01" w:rsidRPr="00F85E75" w:rsidRDefault="00132D01" w:rsidP="00132D01">
            <w:pPr>
              <w:jc w:val="center"/>
              <w:rPr>
                <w:sz w:val="18"/>
                <w:szCs w:val="18"/>
              </w:rPr>
            </w:pPr>
            <w:r>
              <w:rPr>
                <w:sz w:val="18"/>
                <w:szCs w:val="18"/>
              </w:rPr>
              <w:t>PK</w:t>
            </w:r>
          </w:p>
        </w:tc>
        <w:tc>
          <w:tcPr>
            <w:tcW w:w="2200" w:type="dxa"/>
            <w:vAlign w:val="center"/>
          </w:tcPr>
          <w:p w:rsidR="00132D01" w:rsidRPr="00F85E75" w:rsidRDefault="00132D01" w:rsidP="00132D01">
            <w:pPr>
              <w:jc w:val="center"/>
              <w:rPr>
                <w:sz w:val="18"/>
                <w:szCs w:val="18"/>
              </w:rPr>
            </w:pPr>
            <w:r>
              <w:rPr>
                <w:sz w:val="18"/>
                <w:szCs w:val="18"/>
              </w:rPr>
              <w:t>Wartość sprzedanych materiałów</w:t>
            </w:r>
          </w:p>
        </w:tc>
        <w:tc>
          <w:tcPr>
            <w:tcW w:w="2201" w:type="dxa"/>
            <w:vAlign w:val="center"/>
          </w:tcPr>
          <w:p w:rsidR="00132D01" w:rsidRPr="00F85E75" w:rsidRDefault="00132D01" w:rsidP="00132D01">
            <w:pPr>
              <w:jc w:val="center"/>
              <w:rPr>
                <w:sz w:val="18"/>
                <w:szCs w:val="18"/>
              </w:rPr>
            </w:pPr>
            <w:r>
              <w:rPr>
                <w:sz w:val="18"/>
                <w:szCs w:val="18"/>
              </w:rPr>
              <w:t>Odchylenia od cen ewidencyjnych materiałów</w:t>
            </w:r>
          </w:p>
        </w:tc>
      </w:tr>
      <w:tr w:rsidR="00132D01" w:rsidRPr="00F85E75" w:rsidTr="00132D01">
        <w:tc>
          <w:tcPr>
            <w:tcW w:w="444" w:type="dxa"/>
            <w:vAlign w:val="center"/>
          </w:tcPr>
          <w:p w:rsidR="00132D01" w:rsidRPr="00F85E75" w:rsidRDefault="00132D01" w:rsidP="00132D01">
            <w:pPr>
              <w:rPr>
                <w:sz w:val="18"/>
                <w:szCs w:val="18"/>
              </w:rPr>
            </w:pPr>
            <w:r w:rsidRPr="00F85E75">
              <w:rPr>
                <w:sz w:val="18"/>
                <w:szCs w:val="18"/>
              </w:rPr>
              <w:t>6.</w:t>
            </w:r>
          </w:p>
        </w:tc>
        <w:tc>
          <w:tcPr>
            <w:tcW w:w="3328" w:type="dxa"/>
            <w:vAlign w:val="center"/>
          </w:tcPr>
          <w:p w:rsidR="00132D01" w:rsidRPr="00F85E75" w:rsidRDefault="00132D01" w:rsidP="00132D01">
            <w:pPr>
              <w:rPr>
                <w:sz w:val="18"/>
                <w:szCs w:val="18"/>
              </w:rPr>
            </w:pPr>
            <w:r>
              <w:rPr>
                <w:sz w:val="18"/>
                <w:szCs w:val="18"/>
              </w:rPr>
              <w:t xml:space="preserve">Rozliczenie </w:t>
            </w:r>
            <w:r>
              <w:rPr>
                <w:sz w:val="18"/>
                <w:szCs w:val="18"/>
              </w:rPr>
              <w:t>kredytowego</w:t>
            </w:r>
            <w:r>
              <w:rPr>
                <w:sz w:val="18"/>
                <w:szCs w:val="18"/>
              </w:rPr>
              <w:t xml:space="preserve"> odchylenia od cen ewidencyjnych przypadającego na materiały sprzedane (kwota </w:t>
            </w:r>
            <w:r>
              <w:rPr>
                <w:sz w:val="18"/>
                <w:szCs w:val="18"/>
              </w:rPr>
              <w:t>ujemna</w:t>
            </w:r>
            <w:r>
              <w:rPr>
                <w:sz w:val="18"/>
                <w:szCs w:val="18"/>
              </w:rPr>
              <w:t>)</w:t>
            </w:r>
          </w:p>
        </w:tc>
        <w:tc>
          <w:tcPr>
            <w:tcW w:w="889" w:type="dxa"/>
            <w:vAlign w:val="center"/>
          </w:tcPr>
          <w:p w:rsidR="00132D01" w:rsidRPr="00F85E75" w:rsidRDefault="00132D01" w:rsidP="00132D01">
            <w:pPr>
              <w:jc w:val="center"/>
              <w:rPr>
                <w:sz w:val="18"/>
                <w:szCs w:val="18"/>
              </w:rPr>
            </w:pPr>
            <w:r>
              <w:rPr>
                <w:sz w:val="18"/>
                <w:szCs w:val="18"/>
              </w:rPr>
              <w:t>PK</w:t>
            </w:r>
          </w:p>
        </w:tc>
        <w:tc>
          <w:tcPr>
            <w:tcW w:w="2200" w:type="dxa"/>
            <w:vAlign w:val="center"/>
          </w:tcPr>
          <w:p w:rsidR="00132D01" w:rsidRPr="00F85E75" w:rsidRDefault="00132D01" w:rsidP="00132D01">
            <w:pPr>
              <w:jc w:val="center"/>
              <w:rPr>
                <w:sz w:val="18"/>
                <w:szCs w:val="18"/>
              </w:rPr>
            </w:pPr>
            <w:r>
              <w:rPr>
                <w:sz w:val="18"/>
                <w:szCs w:val="18"/>
              </w:rPr>
              <w:t>Wartość sprzedanych materiałów</w:t>
            </w:r>
          </w:p>
        </w:tc>
        <w:tc>
          <w:tcPr>
            <w:tcW w:w="2201" w:type="dxa"/>
            <w:vAlign w:val="center"/>
          </w:tcPr>
          <w:p w:rsidR="00132D01" w:rsidRPr="00F85E75" w:rsidRDefault="00132D01" w:rsidP="00132D01">
            <w:pPr>
              <w:jc w:val="center"/>
              <w:rPr>
                <w:sz w:val="18"/>
                <w:szCs w:val="18"/>
              </w:rPr>
            </w:pPr>
            <w:r>
              <w:rPr>
                <w:sz w:val="18"/>
                <w:szCs w:val="18"/>
              </w:rPr>
              <w:t>Odchylenia od cen ewidencyjnych materiałów</w:t>
            </w:r>
          </w:p>
        </w:tc>
      </w:tr>
    </w:tbl>
    <w:p w:rsidR="008F6E48" w:rsidRDefault="008F6E48" w:rsidP="009B247E">
      <w:pPr>
        <w:jc w:val="both"/>
      </w:pPr>
    </w:p>
    <w:sectPr w:rsidR="008F6E4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95" w:rsidRDefault="00737A95" w:rsidP="00482ECA">
      <w:pPr>
        <w:spacing w:after="0" w:line="240" w:lineRule="auto"/>
      </w:pPr>
      <w:r>
        <w:separator/>
      </w:r>
    </w:p>
  </w:endnote>
  <w:endnote w:type="continuationSeparator" w:id="0">
    <w:p w:rsidR="00737A95" w:rsidRDefault="00737A95" w:rsidP="0048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857680"/>
      <w:docPartObj>
        <w:docPartGallery w:val="Page Numbers (Bottom of Page)"/>
        <w:docPartUnique/>
      </w:docPartObj>
    </w:sdtPr>
    <w:sdtContent>
      <w:p w:rsidR="00482ECA" w:rsidRDefault="00482ECA">
        <w:pPr>
          <w:pStyle w:val="Stopka"/>
          <w:jc w:val="center"/>
        </w:pPr>
        <w:r>
          <w:fldChar w:fldCharType="begin"/>
        </w:r>
        <w:r>
          <w:instrText>PAGE   \* MERGEFORMAT</w:instrText>
        </w:r>
        <w:r>
          <w:fldChar w:fldCharType="separate"/>
        </w:r>
        <w:r w:rsidR="00132D01">
          <w:rPr>
            <w:noProof/>
          </w:rPr>
          <w:t>4</w:t>
        </w:r>
        <w:r>
          <w:fldChar w:fldCharType="end"/>
        </w:r>
      </w:p>
    </w:sdtContent>
  </w:sdt>
  <w:p w:rsidR="00482ECA" w:rsidRDefault="00482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95" w:rsidRDefault="00737A95" w:rsidP="00482ECA">
      <w:pPr>
        <w:spacing w:after="0" w:line="240" w:lineRule="auto"/>
      </w:pPr>
      <w:r>
        <w:separator/>
      </w:r>
    </w:p>
  </w:footnote>
  <w:footnote w:type="continuationSeparator" w:id="0">
    <w:p w:rsidR="00737A95" w:rsidRDefault="00737A95" w:rsidP="00482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0217"/>
    <w:multiLevelType w:val="hybridMultilevel"/>
    <w:tmpl w:val="995CD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AD7431"/>
    <w:multiLevelType w:val="hybridMultilevel"/>
    <w:tmpl w:val="7E20F18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 w15:restartNumberingAfterBreak="0">
    <w:nsid w:val="19E50A93"/>
    <w:multiLevelType w:val="hybridMultilevel"/>
    <w:tmpl w:val="CD9A25FC"/>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 w15:restartNumberingAfterBreak="0">
    <w:nsid w:val="23507A8B"/>
    <w:multiLevelType w:val="hybridMultilevel"/>
    <w:tmpl w:val="D5AE1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6C0FCE"/>
    <w:multiLevelType w:val="hybridMultilevel"/>
    <w:tmpl w:val="44AAA5D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2D568B"/>
    <w:multiLevelType w:val="hybridMultilevel"/>
    <w:tmpl w:val="DAD47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067250"/>
    <w:multiLevelType w:val="hybridMultilevel"/>
    <w:tmpl w:val="8E18D1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755630"/>
    <w:multiLevelType w:val="hybridMultilevel"/>
    <w:tmpl w:val="49C80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210136"/>
    <w:multiLevelType w:val="hybridMultilevel"/>
    <w:tmpl w:val="2D3000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5B0946"/>
    <w:multiLevelType w:val="hybridMultilevel"/>
    <w:tmpl w:val="C694B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591CB0"/>
    <w:multiLevelType w:val="hybridMultilevel"/>
    <w:tmpl w:val="94D8A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8CE4C48"/>
    <w:multiLevelType w:val="hybridMultilevel"/>
    <w:tmpl w:val="56BCE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10"/>
  </w:num>
  <w:num w:numId="6">
    <w:abstractNumId w:val="8"/>
  </w:num>
  <w:num w:numId="7">
    <w:abstractNumId w:val="2"/>
  </w:num>
  <w:num w:numId="8">
    <w:abstractNumId w:val="0"/>
  </w:num>
  <w:num w:numId="9">
    <w:abstractNumId w:val="1"/>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38"/>
    <w:rsid w:val="0003280C"/>
    <w:rsid w:val="00047471"/>
    <w:rsid w:val="00132D01"/>
    <w:rsid w:val="00135964"/>
    <w:rsid w:val="0014098C"/>
    <w:rsid w:val="00224CE9"/>
    <w:rsid w:val="00241162"/>
    <w:rsid w:val="002C0900"/>
    <w:rsid w:val="002C1438"/>
    <w:rsid w:val="00363110"/>
    <w:rsid w:val="00371350"/>
    <w:rsid w:val="003D454D"/>
    <w:rsid w:val="003F202F"/>
    <w:rsid w:val="00413E27"/>
    <w:rsid w:val="004771F9"/>
    <w:rsid w:val="00482ECA"/>
    <w:rsid w:val="004E0A69"/>
    <w:rsid w:val="00626D06"/>
    <w:rsid w:val="006C73DE"/>
    <w:rsid w:val="007040A0"/>
    <w:rsid w:val="00707B02"/>
    <w:rsid w:val="00737A95"/>
    <w:rsid w:val="007E4CE9"/>
    <w:rsid w:val="0081365A"/>
    <w:rsid w:val="00817496"/>
    <w:rsid w:val="008508F7"/>
    <w:rsid w:val="008557BA"/>
    <w:rsid w:val="008A2063"/>
    <w:rsid w:val="008C38E4"/>
    <w:rsid w:val="008C417B"/>
    <w:rsid w:val="008E3567"/>
    <w:rsid w:val="008E6B91"/>
    <w:rsid w:val="008F6E48"/>
    <w:rsid w:val="00973130"/>
    <w:rsid w:val="009918CC"/>
    <w:rsid w:val="009A1900"/>
    <w:rsid w:val="009B247E"/>
    <w:rsid w:val="009B2B54"/>
    <w:rsid w:val="00A16EF3"/>
    <w:rsid w:val="00A32277"/>
    <w:rsid w:val="00A40C63"/>
    <w:rsid w:val="00AC110C"/>
    <w:rsid w:val="00AC15C1"/>
    <w:rsid w:val="00AD6486"/>
    <w:rsid w:val="00AE2084"/>
    <w:rsid w:val="00B158C9"/>
    <w:rsid w:val="00BC28A6"/>
    <w:rsid w:val="00C60074"/>
    <w:rsid w:val="00C8141F"/>
    <w:rsid w:val="00D52403"/>
    <w:rsid w:val="00D855B4"/>
    <w:rsid w:val="00E6027C"/>
    <w:rsid w:val="00E645A3"/>
    <w:rsid w:val="00F85E75"/>
    <w:rsid w:val="00FD1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B1F1"/>
  <w15:chartTrackingRefBased/>
  <w15:docId w15:val="{77157124-3A55-4D47-B308-21A71777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027C"/>
    <w:pPr>
      <w:ind w:left="720"/>
      <w:contextualSpacing/>
    </w:pPr>
  </w:style>
  <w:style w:type="table" w:styleId="Tabela-Siatka">
    <w:name w:val="Table Grid"/>
    <w:basedOn w:val="Standardowy"/>
    <w:uiPriority w:val="39"/>
    <w:rsid w:val="0070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047471"/>
    <w:rPr>
      <w:color w:val="808080"/>
    </w:rPr>
  </w:style>
  <w:style w:type="paragraph" w:styleId="Nagwek">
    <w:name w:val="header"/>
    <w:basedOn w:val="Normalny"/>
    <w:link w:val="NagwekZnak"/>
    <w:uiPriority w:val="99"/>
    <w:unhideWhenUsed/>
    <w:rsid w:val="00482E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2ECA"/>
  </w:style>
  <w:style w:type="paragraph" w:styleId="Stopka">
    <w:name w:val="footer"/>
    <w:basedOn w:val="Normalny"/>
    <w:link w:val="StopkaZnak"/>
    <w:uiPriority w:val="99"/>
    <w:unhideWhenUsed/>
    <w:rsid w:val="00482E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6F"/>
    <w:rsid w:val="001E7C77"/>
    <w:rsid w:val="00480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809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1625</Words>
  <Characters>9751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Nak</dc:creator>
  <cp:keywords/>
  <dc:description/>
  <cp:lastModifiedBy>Joanna Nak</cp:lastModifiedBy>
  <cp:revision>49</cp:revision>
  <dcterms:created xsi:type="dcterms:W3CDTF">2016-12-10T09:00:00Z</dcterms:created>
  <dcterms:modified xsi:type="dcterms:W3CDTF">2016-12-10T13:06:00Z</dcterms:modified>
</cp:coreProperties>
</file>