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0F4" w:rsidRDefault="002A60F4" w:rsidP="002A60F4">
      <w:pPr>
        <w:spacing w:after="0" w:line="240" w:lineRule="auto"/>
        <w:jc w:val="center"/>
        <w:rPr>
          <w:b/>
        </w:rPr>
      </w:pPr>
      <w:r>
        <w:rPr>
          <w:b/>
        </w:rPr>
        <w:t>GRUPOWANIE I ROZLICZANIE KOSZTÓW</w:t>
      </w:r>
    </w:p>
    <w:p w:rsidR="002A60F4" w:rsidRDefault="002A60F4" w:rsidP="002A60F4">
      <w:pPr>
        <w:spacing w:after="0" w:line="240" w:lineRule="auto"/>
        <w:jc w:val="both"/>
        <w:rPr>
          <w:b/>
        </w:rPr>
      </w:pPr>
    </w:p>
    <w:p w:rsidR="002A60F4" w:rsidRDefault="002A60F4" w:rsidP="002A60F4">
      <w:pPr>
        <w:spacing w:after="0" w:line="240" w:lineRule="auto"/>
        <w:jc w:val="both"/>
        <w:rPr>
          <w:b/>
        </w:rPr>
      </w:pPr>
    </w:p>
    <w:p w:rsidR="002A60F4" w:rsidRPr="002A60F4" w:rsidRDefault="002A60F4" w:rsidP="002A60F4">
      <w:pPr>
        <w:spacing w:after="0" w:line="240" w:lineRule="auto"/>
        <w:jc w:val="both"/>
      </w:pPr>
      <w:r w:rsidRPr="002A60F4">
        <w:t>Ustalenie zasad grupowania i rozliczania kosztów</w:t>
      </w:r>
      <w:r w:rsidR="00CA04B7">
        <w:t xml:space="preserve"> w systematycznym rachunku kosztów</w:t>
      </w:r>
      <w:r w:rsidRPr="002A60F4">
        <w:t>, sprowadza się do:</w:t>
      </w:r>
    </w:p>
    <w:p w:rsidR="002A60F4" w:rsidRDefault="002A60F4" w:rsidP="002A60F4">
      <w:pPr>
        <w:pStyle w:val="Akapitzlist"/>
        <w:numPr>
          <w:ilvl w:val="1"/>
          <w:numId w:val="2"/>
        </w:numPr>
        <w:spacing w:after="0" w:line="240" w:lineRule="auto"/>
        <w:jc w:val="both"/>
      </w:pPr>
      <w:r>
        <w:t>określenia czynności ewidencyjnych (etapów ewidencji) i ustalenia ich logicznej kolejności – w praktyce systematyczny rachunek kosztów od strony ewidencyjnej można sprowadzić do kolejnych etapów i grupowania i rozliczania określonych strumieni kosztów:</w:t>
      </w:r>
    </w:p>
    <w:p w:rsidR="002A60F4" w:rsidRDefault="003F6058" w:rsidP="003F6058">
      <w:pPr>
        <w:pStyle w:val="Akapitzlist"/>
        <w:spacing w:after="0" w:line="240" w:lineRule="auto"/>
        <w:ind w:left="0"/>
        <w:jc w:val="both"/>
      </w:pPr>
      <w:r w:rsidRPr="00B205CE">
        <w:rPr>
          <w:noProof/>
          <w:lang w:eastAsia="pl-PL"/>
        </w:rPr>
        <w:drawing>
          <wp:inline distT="0" distB="0" distL="0" distR="0" wp14:anchorId="10FF3554" wp14:editId="29AD9E06">
            <wp:extent cx="5760720" cy="369506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695065"/>
                    </a:xfrm>
                    <a:prstGeom prst="rect">
                      <a:avLst/>
                    </a:prstGeom>
                    <a:noFill/>
                    <a:ln>
                      <a:noFill/>
                    </a:ln>
                  </pic:spPr>
                </pic:pic>
              </a:graphicData>
            </a:graphic>
          </wp:inline>
        </w:drawing>
      </w:r>
    </w:p>
    <w:p w:rsidR="003F6058" w:rsidRDefault="003F6058" w:rsidP="003F6058">
      <w:pPr>
        <w:pStyle w:val="Akapitzlist"/>
        <w:spacing w:after="0" w:line="240" w:lineRule="auto"/>
        <w:ind w:left="1440"/>
        <w:jc w:val="both"/>
      </w:pPr>
    </w:p>
    <w:p w:rsidR="003F6058" w:rsidRDefault="003F6058" w:rsidP="003F6058">
      <w:pPr>
        <w:pStyle w:val="Akapitzlist"/>
        <w:spacing w:after="0" w:line="240" w:lineRule="auto"/>
        <w:ind w:left="1440"/>
        <w:jc w:val="both"/>
      </w:pPr>
    </w:p>
    <w:p w:rsidR="003F6058" w:rsidRDefault="003F6058" w:rsidP="003F6058">
      <w:pPr>
        <w:pStyle w:val="Akapitzlist"/>
        <w:spacing w:after="0" w:line="240" w:lineRule="auto"/>
        <w:ind w:left="0"/>
        <w:jc w:val="both"/>
      </w:pPr>
      <w:r w:rsidRPr="00B205CE">
        <w:rPr>
          <w:noProof/>
          <w:color w:val="FF0000"/>
          <w:lang w:eastAsia="pl-PL"/>
        </w:rPr>
        <w:drawing>
          <wp:inline distT="0" distB="0" distL="0" distR="0" wp14:anchorId="09042315" wp14:editId="7EC2A1DC">
            <wp:extent cx="5760720" cy="32378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37865"/>
                    </a:xfrm>
                    <a:prstGeom prst="rect">
                      <a:avLst/>
                    </a:prstGeom>
                    <a:noFill/>
                    <a:ln>
                      <a:noFill/>
                    </a:ln>
                  </pic:spPr>
                </pic:pic>
              </a:graphicData>
            </a:graphic>
          </wp:inline>
        </w:drawing>
      </w:r>
    </w:p>
    <w:p w:rsidR="003F6058" w:rsidRDefault="003F6058" w:rsidP="003F6058">
      <w:pPr>
        <w:pStyle w:val="Akapitzlist"/>
        <w:spacing w:after="0" w:line="240" w:lineRule="auto"/>
        <w:ind w:left="1440"/>
        <w:jc w:val="both"/>
      </w:pPr>
    </w:p>
    <w:p w:rsidR="002A60F4" w:rsidRDefault="002A60F4" w:rsidP="002A60F4">
      <w:pPr>
        <w:pStyle w:val="Akapitzlist"/>
        <w:numPr>
          <w:ilvl w:val="1"/>
          <w:numId w:val="2"/>
        </w:numPr>
        <w:spacing w:after="0" w:line="240" w:lineRule="auto"/>
        <w:jc w:val="both"/>
      </w:pPr>
      <w:r>
        <w:t>ustalenie sposobu ewidencji i metody rozliczania kosztów zakupu,</w:t>
      </w:r>
    </w:p>
    <w:p w:rsidR="002A60F4" w:rsidRDefault="002A60F4" w:rsidP="002A60F4">
      <w:pPr>
        <w:pStyle w:val="Akapitzlist"/>
        <w:numPr>
          <w:ilvl w:val="1"/>
          <w:numId w:val="2"/>
        </w:numPr>
        <w:spacing w:after="0" w:line="240" w:lineRule="auto"/>
        <w:jc w:val="both"/>
      </w:pPr>
      <w:r>
        <w:t>ustalenia metod rozliczania kosztów działalności pomocniczej,</w:t>
      </w:r>
    </w:p>
    <w:p w:rsidR="002A60F4" w:rsidRDefault="002A60F4" w:rsidP="002A60F4">
      <w:pPr>
        <w:pStyle w:val="Akapitzlist"/>
        <w:numPr>
          <w:ilvl w:val="1"/>
          <w:numId w:val="2"/>
        </w:numPr>
        <w:spacing w:after="0" w:line="240" w:lineRule="auto"/>
        <w:jc w:val="both"/>
      </w:pPr>
      <w:r>
        <w:t>ustalenia zasad i metod rozliczania kosztów pośrednich wydziałów podstawowych.</w:t>
      </w:r>
    </w:p>
    <w:p w:rsidR="002A60F4" w:rsidRDefault="002A60F4" w:rsidP="002A60F4">
      <w:pPr>
        <w:spacing w:after="0" w:line="240" w:lineRule="auto"/>
        <w:jc w:val="both"/>
      </w:pPr>
    </w:p>
    <w:p w:rsidR="002A60F4" w:rsidRDefault="002A60F4" w:rsidP="002A60F4">
      <w:pPr>
        <w:spacing w:after="0" w:line="240" w:lineRule="auto"/>
        <w:jc w:val="both"/>
      </w:pPr>
      <w:r w:rsidRPr="00121D06">
        <w:t>W pierwszej kolejności systematyczny rachunek kosztów grupuje koszty w przekroju rodzajowym</w:t>
      </w:r>
      <w:r>
        <w:t xml:space="preserve">. Następnie każda pozycja poniesionego kosztu rodzajowego  jest rozliczana na rozliczenia międzyokresowe, jeśli dotyczy innych okresów, wprost na działalność podstawową (koszty bezpośrednie danego okresu), na MPK (koszty pośrednie danego okresu). </w:t>
      </w:r>
    </w:p>
    <w:p w:rsidR="002A60F4" w:rsidRDefault="002A60F4" w:rsidP="002A60F4">
      <w:pPr>
        <w:spacing w:after="0" w:line="240" w:lineRule="auto"/>
        <w:jc w:val="both"/>
      </w:pPr>
    </w:p>
    <w:p w:rsidR="002A60F4" w:rsidRDefault="002A60F4" w:rsidP="002A60F4">
      <w:pPr>
        <w:spacing w:after="0" w:line="240" w:lineRule="auto"/>
        <w:jc w:val="both"/>
      </w:pPr>
      <w:r>
        <w:t>Konsekwencją zasady memoriału jest rozliczenie kosztów do okresu bieżącego, których strumienie trafiają na działalność podstawową MPK. W ramach MPK następuje rozliczenie kosztów działalności pomocniczej na odbiorców tych świadczeń, czyli wydziały podstawowe, komórki zarządu i sprzedaży. Na końcu następuje rozliczenie w sposób umowny kosztów pośrednich wydziałów podstawowych  na układ przedmiotowy kosztów  (zmienne i stałe uzasadnione koszty wydziałowe) i na pozostałe koszty operacyjne (stałe nieuzasadnione koszty wydziałowe), przy założeniu, że koszty zakupu rozliczane są w ramach rozliczeń międzyokresowych kosztów, jeśli koszty zakupu byłyby ujmowane w ramach kont zespołu 5 , wówczas rozlicze</w:t>
      </w:r>
      <w:r w:rsidR="00651575">
        <w:t>nie kosztów zakupu wg wielkości</w:t>
      </w:r>
      <w:r>
        <w:t xml:space="preserve">  i kierunków zużycia materiałów musi poprzedzać rozliczenie świadczeń wydziałów pomocniczych jako dodatkowy etap. </w:t>
      </w:r>
    </w:p>
    <w:p w:rsidR="005D1F1E" w:rsidRDefault="005D1F1E" w:rsidP="00651575">
      <w:pPr>
        <w:spacing w:after="0" w:line="240" w:lineRule="auto"/>
        <w:jc w:val="both"/>
      </w:pPr>
    </w:p>
    <w:p w:rsidR="00651575" w:rsidRDefault="00651575" w:rsidP="00651575">
      <w:pPr>
        <w:spacing w:after="0" w:line="240" w:lineRule="auto"/>
        <w:jc w:val="both"/>
      </w:pPr>
      <w:r>
        <w:t>W efekcie tych czynności uzyskuje się:</w:t>
      </w:r>
    </w:p>
    <w:p w:rsidR="00651575" w:rsidRDefault="00651575" w:rsidP="00651575">
      <w:pPr>
        <w:pStyle w:val="Akapitzlist"/>
        <w:numPr>
          <w:ilvl w:val="0"/>
          <w:numId w:val="3"/>
        </w:numPr>
        <w:spacing w:after="0" w:line="240" w:lineRule="auto"/>
        <w:jc w:val="both"/>
      </w:pPr>
      <w:r>
        <w:t>przekrój rodzajowy kosztów,</w:t>
      </w:r>
    </w:p>
    <w:p w:rsidR="00651575" w:rsidRDefault="00651575" w:rsidP="00651575">
      <w:pPr>
        <w:pStyle w:val="Akapitzlist"/>
        <w:numPr>
          <w:ilvl w:val="0"/>
          <w:numId w:val="3"/>
        </w:numPr>
        <w:spacing w:after="0" w:line="240" w:lineRule="auto"/>
        <w:jc w:val="both"/>
      </w:pPr>
      <w:r>
        <w:t>przekrój przedmiotowy kosztów wg pozycji kalkulacyjnych, zgodnych z rachunkowością finansową,</w:t>
      </w:r>
    </w:p>
    <w:p w:rsidR="00651575" w:rsidRDefault="00651575" w:rsidP="00651575">
      <w:pPr>
        <w:pStyle w:val="Akapitzlist"/>
        <w:numPr>
          <w:ilvl w:val="0"/>
          <w:numId w:val="3"/>
        </w:numPr>
        <w:spacing w:after="0" w:line="240" w:lineRule="auto"/>
        <w:jc w:val="both"/>
      </w:pPr>
      <w:r>
        <w:t>nieuzasadnione koszty stałe pośrednie produktów,</w:t>
      </w:r>
    </w:p>
    <w:p w:rsidR="00651575" w:rsidRDefault="00651575" w:rsidP="00651575">
      <w:pPr>
        <w:pStyle w:val="Akapitzlist"/>
        <w:numPr>
          <w:ilvl w:val="0"/>
          <w:numId w:val="3"/>
        </w:numPr>
        <w:spacing w:after="0" w:line="240" w:lineRule="auto"/>
        <w:jc w:val="both"/>
      </w:pPr>
      <w:r>
        <w:t>koszty ogólnego zarządu,</w:t>
      </w:r>
    </w:p>
    <w:p w:rsidR="00651575" w:rsidRDefault="00651575" w:rsidP="00651575">
      <w:pPr>
        <w:pStyle w:val="Akapitzlist"/>
        <w:numPr>
          <w:ilvl w:val="0"/>
          <w:numId w:val="3"/>
        </w:numPr>
        <w:spacing w:after="0" w:line="240" w:lineRule="auto"/>
        <w:jc w:val="both"/>
      </w:pPr>
      <w:r>
        <w:t>koszty sprzedaży.</w:t>
      </w:r>
    </w:p>
    <w:p w:rsidR="00A64843" w:rsidRDefault="00A64843" w:rsidP="00A64843">
      <w:pPr>
        <w:spacing w:after="0" w:line="240" w:lineRule="auto"/>
        <w:jc w:val="both"/>
      </w:pPr>
    </w:p>
    <w:p w:rsidR="00A64843" w:rsidRDefault="00A64843" w:rsidP="00A64843">
      <w:pPr>
        <w:spacing w:after="0" w:line="240" w:lineRule="auto"/>
        <w:jc w:val="both"/>
      </w:pPr>
      <w:r>
        <w:t xml:space="preserve">Koszty ogólnego zarządu i koszty sprzedaży przez rachunkowość finansową traktowane są </w:t>
      </w:r>
      <w:r w:rsidR="00A05D99">
        <w:t>jako koszty okresu, a więc odnoszone są na wynik finansowy roku obrotowego wprost lub pośrednio przez koszt własny sprzedaży.</w:t>
      </w:r>
    </w:p>
    <w:p w:rsidR="003F6058" w:rsidRDefault="003F6058" w:rsidP="00A64843">
      <w:pPr>
        <w:spacing w:after="0" w:line="240" w:lineRule="auto"/>
        <w:jc w:val="both"/>
      </w:pPr>
    </w:p>
    <w:p w:rsidR="003F6058" w:rsidRDefault="003F6058" w:rsidP="00A64843">
      <w:pPr>
        <w:spacing w:after="0" w:line="240" w:lineRule="auto"/>
        <w:jc w:val="both"/>
      </w:pPr>
    </w:p>
    <w:p w:rsidR="003F6058" w:rsidRPr="00433539" w:rsidRDefault="00433539" w:rsidP="00433539">
      <w:pPr>
        <w:spacing w:after="0" w:line="240" w:lineRule="auto"/>
        <w:jc w:val="center"/>
        <w:rPr>
          <w:b/>
        </w:rPr>
      </w:pPr>
      <w:r w:rsidRPr="00433539">
        <w:rPr>
          <w:b/>
        </w:rPr>
        <w:t>ROZLICZANIE KOSZTÓW LOGISTYCZNYCH</w:t>
      </w:r>
      <w:r w:rsidR="0066756D">
        <w:rPr>
          <w:rStyle w:val="Odwoanieprzypisudolnego"/>
          <w:b/>
        </w:rPr>
        <w:footnoteReference w:id="1"/>
      </w:r>
    </w:p>
    <w:p w:rsidR="00433539" w:rsidRDefault="00433539" w:rsidP="00A64843">
      <w:pPr>
        <w:spacing w:after="0" w:line="240" w:lineRule="auto"/>
        <w:jc w:val="both"/>
        <w:rPr>
          <w:rFonts w:ascii="Arial" w:hAnsi="Arial" w:cs="Arial"/>
          <w:sz w:val="20"/>
          <w:szCs w:val="20"/>
        </w:rPr>
      </w:pPr>
    </w:p>
    <w:p w:rsidR="003F6058" w:rsidRDefault="003F6058" w:rsidP="00A12E4E">
      <w:pPr>
        <w:spacing w:after="0"/>
        <w:jc w:val="both"/>
        <w:rPr>
          <w:rFonts w:ascii="Arial" w:hAnsi="Arial" w:cs="Arial"/>
          <w:sz w:val="20"/>
          <w:szCs w:val="20"/>
        </w:rPr>
      </w:pPr>
      <w:r>
        <w:rPr>
          <w:rFonts w:ascii="Arial" w:hAnsi="Arial" w:cs="Arial"/>
          <w:sz w:val="20"/>
          <w:szCs w:val="20"/>
        </w:rPr>
        <w:t>Koszty logistyki to miecz o dwóch ostrzach. Z jednej strony stanowią kłopot dla przedsiębiorstwa, ponieważ nie są wyodrębnione jako oddzielne konto rachunkowe. Z drugiej zaś strony stanowią w walce konkurencyjnej swego rodzaju tajną broń, dzięki której umożliwiają trudną do skopiowania racjonalizację zadań logistycznych.</w:t>
      </w:r>
    </w:p>
    <w:p w:rsidR="00433539" w:rsidRDefault="00433539" w:rsidP="00A12E4E">
      <w:pPr>
        <w:shd w:val="clear" w:color="auto" w:fill="FFFFFF"/>
        <w:spacing w:after="0"/>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 xml:space="preserve">Przedsiębiorstwa mają pełną dowolność rozliczenia kosztów logistycznych, jeśli sposób ich ewidencji jest zgodny z przepisami, dlatego warto zwrócić uwagę na ciekawe rozwiązania w tym zakresie. </w:t>
      </w:r>
    </w:p>
    <w:p w:rsidR="00433539" w:rsidRDefault="00433539" w:rsidP="00A12E4E">
      <w:pPr>
        <w:shd w:val="clear" w:color="auto" w:fill="FFFFFF"/>
        <w:spacing w:after="0"/>
        <w:jc w:val="both"/>
        <w:rPr>
          <w:rFonts w:ascii="Arial" w:eastAsia="Times New Roman" w:hAnsi="Arial" w:cs="Arial"/>
          <w:sz w:val="20"/>
          <w:szCs w:val="20"/>
          <w:lang w:eastAsia="pl-PL"/>
        </w:rPr>
      </w:pPr>
    </w:p>
    <w:p w:rsidR="00433539" w:rsidRDefault="00433539" w:rsidP="00A12E4E">
      <w:pPr>
        <w:shd w:val="clear" w:color="auto" w:fill="FFFFFF"/>
        <w:spacing w:after="0"/>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Pierwszą z metod jest metoda bezpośredniej zyskowności produktów (Direct Product Profit, DPP). Zgodnie z nią wszystkie koszty winny być oznaczone nie tylko z dużą dokładnością, ale według metod kalkulacji oraz z wykorzystaniem tzw. klucza do kalkulacji. Kalkulacja kosztów bezpośrednich w metodzie DPP dotyczy następujących grup kosztów: kosztów składowania, kosztów transportu, kosztów administracyjnych.</w:t>
      </w:r>
    </w:p>
    <w:p w:rsidR="00433539" w:rsidRDefault="00433539" w:rsidP="00A12E4E">
      <w:p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lastRenderedPageBreak/>
        <w:br/>
        <w:t xml:space="preserve">Drugą metodą jest obliczenie bezpośredniego kosztu produktu (Direct Product </w:t>
      </w:r>
      <w:proofErr w:type="spellStart"/>
      <w:r w:rsidRPr="00433539">
        <w:rPr>
          <w:rFonts w:ascii="Arial" w:eastAsia="Times New Roman" w:hAnsi="Arial" w:cs="Arial"/>
          <w:sz w:val="20"/>
          <w:szCs w:val="20"/>
          <w:lang w:eastAsia="pl-PL"/>
        </w:rPr>
        <w:t>Cost</w:t>
      </w:r>
      <w:proofErr w:type="spellEnd"/>
      <w:r w:rsidRPr="00433539">
        <w:rPr>
          <w:rFonts w:ascii="Arial" w:eastAsia="Times New Roman" w:hAnsi="Arial" w:cs="Arial"/>
          <w:sz w:val="20"/>
          <w:szCs w:val="20"/>
          <w:lang w:eastAsia="pl-PL"/>
        </w:rPr>
        <w:t>, DPC), a jej wykorzystanie umożliwia odniesienie kosztu logistycznego do produktu.</w:t>
      </w:r>
    </w:p>
    <w:p w:rsidR="00433539" w:rsidRPr="00433539" w:rsidRDefault="00433539" w:rsidP="00A12E4E">
      <w:p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br/>
        <w:t>Bezpośrednie koszty magazynowania oblicza się po dodaniu:</w:t>
      </w:r>
    </w:p>
    <w:p w:rsidR="00433539" w:rsidRPr="00433539" w:rsidRDefault="00433539" w:rsidP="00A12E4E">
      <w:pPr>
        <w:numPr>
          <w:ilvl w:val="0"/>
          <w:numId w:val="4"/>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kosztów przyjęcia każdej jednostki produktu,</w:t>
      </w:r>
    </w:p>
    <w:p w:rsidR="00433539" w:rsidRPr="00433539" w:rsidRDefault="00433539" w:rsidP="00A12E4E">
      <w:pPr>
        <w:numPr>
          <w:ilvl w:val="0"/>
          <w:numId w:val="4"/>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kosztów przesunięcia każdej jednostki produktu,</w:t>
      </w:r>
    </w:p>
    <w:p w:rsidR="00433539" w:rsidRPr="00433539" w:rsidRDefault="00433539" w:rsidP="00A12E4E">
      <w:pPr>
        <w:numPr>
          <w:ilvl w:val="0"/>
          <w:numId w:val="4"/>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kosztów przygotowania zamówionych produktów,</w:t>
      </w:r>
    </w:p>
    <w:p w:rsidR="00433539" w:rsidRPr="00433539" w:rsidRDefault="00433539" w:rsidP="00A12E4E">
      <w:pPr>
        <w:numPr>
          <w:ilvl w:val="0"/>
          <w:numId w:val="4"/>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kosztów załadowania samochodów dostawczych,</w:t>
      </w:r>
    </w:p>
    <w:p w:rsidR="00433539" w:rsidRPr="00433539" w:rsidRDefault="00433539" w:rsidP="00A12E4E">
      <w:pPr>
        <w:numPr>
          <w:ilvl w:val="0"/>
          <w:numId w:val="4"/>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kosztów składowania,</w:t>
      </w:r>
    </w:p>
    <w:p w:rsidR="00433539" w:rsidRPr="00433539" w:rsidRDefault="00433539" w:rsidP="00A12E4E">
      <w:pPr>
        <w:numPr>
          <w:ilvl w:val="0"/>
          <w:numId w:val="4"/>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kosztów inwentaryzacji.</w:t>
      </w:r>
    </w:p>
    <w:p w:rsidR="00433539" w:rsidRPr="00433539" w:rsidRDefault="00433539" w:rsidP="00A12E4E">
      <w:p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Całkowite bezpośrednie koszty wykorzystania powierzchni sprzedaży dla produktu logistycznego obliczamy, sumując koszty zamówienia towarów, koszty przyjęcia towarów, koszty składowania w sklepach.</w:t>
      </w:r>
    </w:p>
    <w:p w:rsidR="00433539" w:rsidRDefault="00433539" w:rsidP="00A12E4E">
      <w:pPr>
        <w:spacing w:after="0" w:line="360" w:lineRule="auto"/>
        <w:jc w:val="both"/>
        <w:rPr>
          <w:rFonts w:ascii="Arial" w:hAnsi="Arial" w:cs="Arial"/>
          <w:sz w:val="20"/>
          <w:szCs w:val="20"/>
        </w:rPr>
      </w:pPr>
      <w:r>
        <w:rPr>
          <w:rFonts w:ascii="Arial" w:hAnsi="Arial" w:cs="Arial"/>
          <w:sz w:val="20"/>
          <w:szCs w:val="20"/>
        </w:rPr>
        <w:t>Bezpośrednie koszty transportu oblicza się w taki sam sposób, jak koszty magazynowania. W sytuacji, gdy musimy uwzględnić w analizie operacji logistycznych układ kosztów kalkulacyjnych, zobowiązani jesteśmy do transformacji kosztów i układu podmiotowego na układ kalkulacyjny. Transformacja ma ogromne znaczenie dla logistyki, w szczególności dla oceny skuteczności ekonomicznej w rozliczeniu korzyści jej stosowania w przedsiębiorstwie.</w:t>
      </w:r>
    </w:p>
    <w:p w:rsidR="00433539" w:rsidRDefault="00433539" w:rsidP="00A12E4E">
      <w:pPr>
        <w:spacing w:after="0" w:line="360" w:lineRule="auto"/>
        <w:jc w:val="both"/>
        <w:rPr>
          <w:rFonts w:ascii="Arial" w:hAnsi="Arial" w:cs="Arial"/>
          <w:sz w:val="20"/>
          <w:szCs w:val="20"/>
        </w:rPr>
      </w:pPr>
      <w:r>
        <w:rPr>
          <w:rFonts w:ascii="Arial" w:hAnsi="Arial" w:cs="Arial"/>
          <w:sz w:val="20"/>
          <w:szCs w:val="20"/>
        </w:rPr>
        <w:br/>
      </w:r>
      <w:r>
        <w:rPr>
          <w:rFonts w:ascii="Arial" w:hAnsi="Arial" w:cs="Arial"/>
          <w:sz w:val="20"/>
          <w:szCs w:val="20"/>
        </w:rPr>
        <w:br/>
        <w:t xml:space="preserve">Kolejny sposób rozliczania kosztów polega na podziale kosztów na dwie grupy: (1) koszty bezpośrednie, (2) koszty pośrednie. Z podziału tego wynika potrzeba uwzględnienia kosztów rzeczywistych i postulowanych, a także pełnych i częściowych. Rachunek kosztów rzeczywistych ujmuje tylko koszty faktyczne, poniesione w danym okresie, przy czym zasady tej nie podważa stosowanie cen ewidencyjnych. Natomiast koszty postulowane ustala się w trybie ex </w:t>
      </w:r>
      <w:proofErr w:type="spellStart"/>
      <w:r>
        <w:rPr>
          <w:rFonts w:ascii="Arial" w:hAnsi="Arial" w:cs="Arial"/>
          <w:sz w:val="20"/>
          <w:szCs w:val="20"/>
        </w:rPr>
        <w:t>ante</w:t>
      </w:r>
      <w:proofErr w:type="spellEnd"/>
      <w:r>
        <w:rPr>
          <w:rFonts w:ascii="Arial" w:hAnsi="Arial" w:cs="Arial"/>
          <w:sz w:val="20"/>
          <w:szCs w:val="20"/>
        </w:rPr>
        <w:t>, ich zaletą jest zwrócenie uwagi logistyków na potencjalne zagrożenie planowanych działań. Warto podkreślić, że ważnym kryterium sprawności rachunku kosztów postulowanych jest stosunek odchyleń określonych do nieokreślonych.</w:t>
      </w:r>
    </w:p>
    <w:p w:rsidR="00433539" w:rsidRDefault="00433539" w:rsidP="00A12E4E">
      <w:pPr>
        <w:spacing w:after="0" w:line="360" w:lineRule="auto"/>
        <w:jc w:val="both"/>
        <w:rPr>
          <w:rFonts w:ascii="Arial" w:hAnsi="Arial" w:cs="Arial"/>
          <w:sz w:val="20"/>
          <w:szCs w:val="20"/>
        </w:rPr>
      </w:pPr>
      <w:r>
        <w:rPr>
          <w:rFonts w:ascii="Arial" w:hAnsi="Arial" w:cs="Arial"/>
          <w:sz w:val="20"/>
          <w:szCs w:val="20"/>
        </w:rPr>
        <w:br/>
      </w:r>
      <w:r>
        <w:rPr>
          <w:rFonts w:ascii="Arial" w:hAnsi="Arial" w:cs="Arial"/>
          <w:sz w:val="20"/>
          <w:szCs w:val="20"/>
        </w:rPr>
        <w:br/>
        <w:t>Odchylenia nieokreślone są różnicą pomiędzy kosztami postulowanymi, skorygowanymi o odchylenia określone, a kosztami rzeczywistymi. W zarządzaniu logistycznym szczególne znaczenie ma rachunek kosztów opartych na wielkościach kosztów planowanych – uwzględnia się w nich niezbędną liczbę czynników produkcji oraz spodziewane ceny poszczególnych czynników produkcji.</w:t>
      </w:r>
    </w:p>
    <w:p w:rsidR="00433539" w:rsidRDefault="00433539" w:rsidP="00A12E4E">
      <w:pPr>
        <w:spacing w:after="0" w:line="360" w:lineRule="auto"/>
        <w:jc w:val="both"/>
        <w:rPr>
          <w:rFonts w:ascii="Arial" w:hAnsi="Arial" w:cs="Arial"/>
          <w:sz w:val="20"/>
          <w:szCs w:val="20"/>
        </w:rPr>
      </w:pPr>
    </w:p>
    <w:p w:rsidR="00433539" w:rsidRDefault="00433539" w:rsidP="00A12E4E">
      <w:pPr>
        <w:spacing w:after="0" w:line="360" w:lineRule="auto"/>
        <w:jc w:val="both"/>
        <w:rPr>
          <w:rFonts w:ascii="Arial" w:hAnsi="Arial" w:cs="Arial"/>
          <w:sz w:val="20"/>
          <w:szCs w:val="20"/>
        </w:rPr>
      </w:pPr>
      <w:r>
        <w:rPr>
          <w:rFonts w:ascii="Arial" w:hAnsi="Arial" w:cs="Arial"/>
          <w:sz w:val="20"/>
          <w:szCs w:val="20"/>
        </w:rPr>
        <w:t xml:space="preserve">Podział na koszty rzeczywiste i planowanie ma dla logistyki bardzo duże znaczenie, gdyż przy nieoczekiwanych zmianach popytu na wyroby lub braku surowców do produkcji koszty prawidłowo zaplanowane mogą mieć znaczący wpływ na wynik finansowy przedsiębiorstwa. Menedżerowie logistyki powinni planować poziom kosztów z wyprzedzeniem przynajmniej kwartalnym, jeśli chcą w </w:t>
      </w:r>
      <w:r>
        <w:rPr>
          <w:rFonts w:ascii="Arial" w:hAnsi="Arial" w:cs="Arial"/>
          <w:sz w:val="20"/>
          <w:szCs w:val="20"/>
        </w:rPr>
        <w:lastRenderedPageBreak/>
        <w:t>sposób płynny sterować przepływami w obrębie logistycznego łańcucha dostaw.</w:t>
      </w:r>
      <w:r>
        <w:rPr>
          <w:rFonts w:ascii="Arial" w:hAnsi="Arial" w:cs="Arial"/>
          <w:sz w:val="20"/>
          <w:szCs w:val="20"/>
        </w:rPr>
        <w:br/>
      </w:r>
      <w:r>
        <w:rPr>
          <w:rFonts w:ascii="Arial" w:hAnsi="Arial" w:cs="Arial"/>
          <w:sz w:val="20"/>
          <w:szCs w:val="20"/>
        </w:rPr>
        <w:br/>
        <w:t>Obecnie jednym z istotnych narzędzi czy instrumentów zarządzania logistycznego jest controlling, który może być traktowany jako pomost łączący efekty kalkulacji kosztów logistyki z audytem logistycznym.</w:t>
      </w:r>
      <w:r>
        <w:rPr>
          <w:rFonts w:ascii="Arial" w:hAnsi="Arial" w:cs="Arial"/>
          <w:sz w:val="20"/>
          <w:szCs w:val="20"/>
        </w:rPr>
        <w:br/>
        <w:t>Jedna z definicji controllingu mówi, iż jest to zapewnienie integracji informacji finansowych na temat działań i zasobów organizacji za pomocą monitorowania i pomiaru dokonań oraz wprowadzania korekt. Inni autorzy powiadają, iż celem controllingu jest przeprowadzenie korekt i sprawowanie nadzoru nad różnymi obszarami działalności firmy, uznając go za proces kompleksowy, w którym dochodzi do scalania czynności koordynujących, kontrolnych, informacyjnych i planistycznych.</w:t>
      </w:r>
      <w:r>
        <w:rPr>
          <w:rFonts w:ascii="Arial" w:hAnsi="Arial" w:cs="Arial"/>
          <w:sz w:val="20"/>
          <w:szCs w:val="20"/>
        </w:rPr>
        <w:br/>
      </w:r>
      <w:r>
        <w:rPr>
          <w:rFonts w:ascii="Arial" w:hAnsi="Arial" w:cs="Arial"/>
          <w:sz w:val="20"/>
          <w:szCs w:val="20"/>
        </w:rPr>
        <w:br/>
        <w:t>Najczęściej w praktyce gospodarczej stosuje się controlling strategiczny i operacyjny. Strategiczny – jak sama nazwa wskazuje – polega na wzmacnianiu procesu zarządzania strategicznego w firmie, operacyjny zaś dotyczy decyzji o charakterze operacyjnym i taktycznym.</w:t>
      </w:r>
    </w:p>
    <w:p w:rsidR="00433539" w:rsidRDefault="00433539" w:rsidP="00A12E4E">
      <w:pPr>
        <w:spacing w:after="0" w:line="360" w:lineRule="auto"/>
        <w:jc w:val="both"/>
        <w:rPr>
          <w:rFonts w:ascii="Arial" w:hAnsi="Arial" w:cs="Arial"/>
          <w:sz w:val="20"/>
          <w:szCs w:val="20"/>
        </w:rPr>
      </w:pPr>
      <w:r>
        <w:rPr>
          <w:rFonts w:ascii="Arial" w:hAnsi="Arial" w:cs="Arial"/>
          <w:sz w:val="20"/>
          <w:szCs w:val="20"/>
        </w:rPr>
        <w:br/>
      </w:r>
      <w:r>
        <w:rPr>
          <w:rFonts w:ascii="Arial" w:hAnsi="Arial" w:cs="Arial"/>
          <w:sz w:val="20"/>
          <w:szCs w:val="20"/>
        </w:rPr>
        <w:br/>
        <w:t xml:space="preserve">Controlling logistyczny jest w ostatnich latach coraz częściej stosowany w polskich firmach. Winien być rozumiany jako funkcja przekrojowa tak dopasowująca planowanie i koordynację podsystemów, zaopatrzenie, transport, produkcję, magazynowanie, aby można było zapobiec ich </w:t>
      </w:r>
      <w:proofErr w:type="spellStart"/>
      <w:r>
        <w:rPr>
          <w:rFonts w:ascii="Arial" w:hAnsi="Arial" w:cs="Arial"/>
          <w:sz w:val="20"/>
          <w:szCs w:val="20"/>
        </w:rPr>
        <w:t>suboptymalizacji</w:t>
      </w:r>
      <w:proofErr w:type="spellEnd"/>
      <w:r>
        <w:rPr>
          <w:rFonts w:ascii="Arial" w:hAnsi="Arial" w:cs="Arial"/>
          <w:sz w:val="20"/>
          <w:szCs w:val="20"/>
        </w:rPr>
        <w:t xml:space="preserve"> sprzecznej z celami strategicznymi przedsiębiorstwa.</w:t>
      </w:r>
    </w:p>
    <w:p w:rsidR="00433539" w:rsidRPr="00433539" w:rsidRDefault="00433539" w:rsidP="00A12E4E">
      <w:p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Do ważniejszych mierników controllingu logistycznego S. Abt [1998, s 298] zalicza:</w:t>
      </w:r>
    </w:p>
    <w:p w:rsidR="00433539" w:rsidRPr="00433539" w:rsidRDefault="00433539" w:rsidP="00A12E4E">
      <w:pPr>
        <w:numPr>
          <w:ilvl w:val="0"/>
          <w:numId w:val="5"/>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miernik procesu zaopatrzenia,</w:t>
      </w:r>
    </w:p>
    <w:p w:rsidR="00433539" w:rsidRPr="00433539" w:rsidRDefault="00433539" w:rsidP="00A12E4E">
      <w:pPr>
        <w:numPr>
          <w:ilvl w:val="0"/>
          <w:numId w:val="5"/>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miernik wykorzystania surowców i materiałów,</w:t>
      </w:r>
    </w:p>
    <w:p w:rsidR="00433539" w:rsidRPr="00433539" w:rsidRDefault="00433539" w:rsidP="00A12E4E">
      <w:pPr>
        <w:numPr>
          <w:ilvl w:val="0"/>
          <w:numId w:val="5"/>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miernik gospodarowania zapasami,</w:t>
      </w:r>
    </w:p>
    <w:p w:rsidR="00433539" w:rsidRPr="00433539" w:rsidRDefault="00433539" w:rsidP="00A12E4E">
      <w:pPr>
        <w:numPr>
          <w:ilvl w:val="0"/>
          <w:numId w:val="5"/>
        </w:numPr>
        <w:shd w:val="clear" w:color="auto" w:fill="FFFFFF"/>
        <w:spacing w:after="0" w:line="360" w:lineRule="auto"/>
        <w:rPr>
          <w:rFonts w:ascii="Arial" w:eastAsia="Times New Roman" w:hAnsi="Arial" w:cs="Arial"/>
          <w:sz w:val="20"/>
          <w:szCs w:val="20"/>
          <w:lang w:eastAsia="pl-PL"/>
        </w:rPr>
      </w:pPr>
      <w:r w:rsidRPr="00433539">
        <w:rPr>
          <w:rFonts w:ascii="Arial" w:eastAsia="Times New Roman" w:hAnsi="Arial" w:cs="Arial"/>
          <w:sz w:val="20"/>
          <w:szCs w:val="20"/>
          <w:lang w:eastAsia="pl-PL"/>
        </w:rPr>
        <w:t>miernik gospodarowania surowcami wtórnymi.</w:t>
      </w:r>
    </w:p>
    <w:p w:rsidR="00433539" w:rsidRPr="00433539" w:rsidRDefault="00433539" w:rsidP="00A12E4E">
      <w:p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Mierniki te mogą być wykorzystywane w controllingu operatywnym wszędzie tam, gdzie przeprowadza się bieżące operacje logistyczne. W controllingu strategicznym natomiast idzie o określenie w dłuższym horyzoncie czasowym ważnych dziedzin działalności oraz źródeł przewagi konkurencyjnej w kontekście metod ich osiągnięcia. Do ważniejszych mierników strategicznego controllingu logistycznego zalicza się:</w:t>
      </w:r>
    </w:p>
    <w:p w:rsidR="00433539" w:rsidRPr="00433539" w:rsidRDefault="00433539" w:rsidP="00A12E4E">
      <w:pPr>
        <w:numPr>
          <w:ilvl w:val="0"/>
          <w:numId w:val="6"/>
        </w:num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skuteczność budowania strategii logistycznych w strategii firmy, mierzoną np. w rezultacie obniżki kosztów logistycznych wpływającej na poziom rentowności firmy;</w:t>
      </w:r>
    </w:p>
    <w:p w:rsidR="00433539" w:rsidRPr="00433539" w:rsidRDefault="00433539" w:rsidP="00A12E4E">
      <w:pPr>
        <w:numPr>
          <w:ilvl w:val="0"/>
          <w:numId w:val="6"/>
        </w:num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efektywność zmian struktury organizacyjnej przedsiębiorstwa ze względu na tworzenie działów logistyki czy zespołów logistycznych, mierzona osiąganiem przez firmę kluczowych kompetencji logistycznych;</w:t>
      </w:r>
    </w:p>
    <w:p w:rsidR="00433539" w:rsidRPr="00433539" w:rsidRDefault="00433539" w:rsidP="00A12E4E">
      <w:pPr>
        <w:numPr>
          <w:ilvl w:val="0"/>
          <w:numId w:val="6"/>
        </w:num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opłacalność wprowadzania nowych logistycznych systemów informatycznych celem przyspieszenia gromadzenia i przetwarzania informacji biznesowych.</w:t>
      </w:r>
    </w:p>
    <w:p w:rsidR="00433539" w:rsidRDefault="00433539" w:rsidP="00A12E4E">
      <w:pPr>
        <w:shd w:val="clear" w:color="auto" w:fill="FFFFFF"/>
        <w:spacing w:after="0" w:line="360" w:lineRule="auto"/>
        <w:jc w:val="both"/>
        <w:rPr>
          <w:rFonts w:ascii="Arial" w:eastAsia="Times New Roman" w:hAnsi="Arial" w:cs="Arial"/>
          <w:sz w:val="20"/>
          <w:szCs w:val="20"/>
          <w:lang w:eastAsia="pl-PL"/>
        </w:rPr>
      </w:pPr>
      <w:r w:rsidRPr="00433539">
        <w:rPr>
          <w:rFonts w:ascii="Arial" w:eastAsia="Times New Roman" w:hAnsi="Arial" w:cs="Arial"/>
          <w:sz w:val="20"/>
          <w:szCs w:val="20"/>
          <w:lang w:eastAsia="pl-PL"/>
        </w:rPr>
        <w:t xml:space="preserve">Jak wspomniano, należy łączyć umiejętną kalkulację kosztów logistycznych z controllingiem strategicznym i operatywnym oraz audytem logistycznym. </w:t>
      </w:r>
    </w:p>
    <w:p w:rsidR="00433539" w:rsidRDefault="00433539" w:rsidP="00A12E4E">
      <w:pPr>
        <w:shd w:val="clear" w:color="auto" w:fill="FFFFFF"/>
        <w:spacing w:after="0" w:line="360" w:lineRule="auto"/>
        <w:jc w:val="both"/>
        <w:rPr>
          <w:rFonts w:ascii="Arial" w:hAnsi="Arial" w:cs="Arial"/>
          <w:sz w:val="20"/>
          <w:szCs w:val="20"/>
        </w:rPr>
      </w:pPr>
      <w:r>
        <w:rPr>
          <w:rFonts w:ascii="Arial" w:hAnsi="Arial" w:cs="Arial"/>
          <w:sz w:val="20"/>
          <w:szCs w:val="20"/>
        </w:rPr>
        <w:lastRenderedPageBreak/>
        <w:t>Audyt logistyczny to analiza procesów logistycznych w przedsiębiorstwie, dotycząca oceny jakości tych procesów, sprawności technologii rozwiązań logistycznych, a także oznaczenie tzw. punktów krytycznych w odnośnych procesach.</w:t>
      </w:r>
    </w:p>
    <w:p w:rsidR="00433539" w:rsidRDefault="00433539" w:rsidP="00A12E4E">
      <w:pPr>
        <w:shd w:val="clear" w:color="auto" w:fill="FFFFFF"/>
        <w:spacing w:after="0" w:line="360" w:lineRule="auto"/>
        <w:jc w:val="both"/>
        <w:rPr>
          <w:rFonts w:ascii="Arial" w:hAnsi="Arial" w:cs="Arial"/>
          <w:sz w:val="20"/>
          <w:szCs w:val="20"/>
        </w:rPr>
      </w:pPr>
      <w:r>
        <w:rPr>
          <w:rFonts w:ascii="Arial" w:hAnsi="Arial" w:cs="Arial"/>
          <w:sz w:val="20"/>
          <w:szCs w:val="20"/>
        </w:rPr>
        <w:br/>
        <w:t>Zasadniczo audyt przeprowadza się etapowo, przynajmniej w dwóch obszarach, przy czym pierwszym krokiem jest odniesienie do wzorców, wskaźników wydajnościowych, drugim natomiast wskazanie nieprawidłowości, a następnie sposobów naprawy, z uwzględnieniem kosztów takich zmian.</w:t>
      </w:r>
      <w:r>
        <w:rPr>
          <w:rFonts w:ascii="Arial" w:hAnsi="Arial" w:cs="Arial"/>
          <w:sz w:val="20"/>
          <w:szCs w:val="20"/>
        </w:rPr>
        <w:br/>
      </w:r>
      <w:r>
        <w:rPr>
          <w:rFonts w:ascii="Arial" w:hAnsi="Arial" w:cs="Arial"/>
          <w:sz w:val="20"/>
          <w:szCs w:val="20"/>
        </w:rPr>
        <w:br/>
        <w:t>Za niezwykle istotny w przeprowadzeniu audytu należy uznać wybór audytora, który w sposób umiejętny, korzystając z mierników controllingu z jednej strony i wyników badań logistycznych z drugiej, potrafi zbudować nowy, skuteczny pakiet rozwiązań. Jak już wspomniano, ani controlling, ani audyt nie służą kwantyfikowaniu niedoskonałości działalności logistycznej, ale zaprojektowaniu takiego rozwiązania, który wyeliminuje te niedoskonałości i umożliwi, wspólnie z menedżerami przedsiębiorstwa, wykreowanie nowego jakościowo programu.</w:t>
      </w:r>
    </w:p>
    <w:p w:rsidR="00433539" w:rsidRPr="00433539" w:rsidRDefault="00433539" w:rsidP="00A12E4E">
      <w:pPr>
        <w:shd w:val="clear" w:color="auto" w:fill="FFFFFF"/>
        <w:spacing w:after="0" w:line="360" w:lineRule="auto"/>
        <w:jc w:val="both"/>
        <w:rPr>
          <w:rFonts w:ascii="Arial" w:eastAsia="Times New Roman" w:hAnsi="Arial" w:cs="Arial"/>
          <w:sz w:val="20"/>
          <w:szCs w:val="20"/>
          <w:lang w:eastAsia="pl-PL"/>
        </w:rPr>
      </w:pPr>
      <w:r>
        <w:rPr>
          <w:rFonts w:ascii="Arial" w:hAnsi="Arial" w:cs="Arial"/>
          <w:sz w:val="20"/>
          <w:szCs w:val="20"/>
        </w:rPr>
        <w:br/>
        <w:t>Audyt logistyczny dostarcza więc członkom zespołu ds. inżynierii sieci logistycznej kompleksowych informacji na temat działalności logistycznej. Można dzięki niemu uzyskać takie informacje jak: wymagania klientów i kluczowe elementy otoczenia, najważniejsze cele i zadania logistyki, konfiguracja aktualnej sieci logistycznej i pozycji firmy w danym łańcuchu dostaw, wzorcowe lub docelowe wielkości kosztów logistycznych i kluczowych mierników wyników osiąganych w działalności logistycznej, identyfikacji luk pomiędzy obecnymi a pożądanymi wynikami jakościowymi i ilościowymi w działalności logistycznej, kluczowych celów projektu sieci logistycznej, wyrażanych w jednostkach mierzalnych.</w:t>
      </w:r>
    </w:p>
    <w:p w:rsidR="00433539" w:rsidRDefault="00433539" w:rsidP="00A12E4E">
      <w:pPr>
        <w:spacing w:after="0" w:line="360" w:lineRule="auto"/>
        <w:jc w:val="both"/>
        <w:rPr>
          <w:rFonts w:ascii="Arial" w:hAnsi="Arial" w:cs="Arial"/>
          <w:sz w:val="20"/>
          <w:szCs w:val="20"/>
        </w:rPr>
      </w:pPr>
      <w:r>
        <w:rPr>
          <w:rFonts w:ascii="Arial" w:hAnsi="Arial" w:cs="Arial"/>
          <w:sz w:val="20"/>
          <w:szCs w:val="20"/>
        </w:rPr>
        <w:t>Jak wynika z obserwacji wielu przedsiębiorstw we współczesnej gospodarce nie istnieją idealne metody controllingu czy audytu, które w radykalny sposób zmieniałyby „oblicze firmy” i czyniły ją bardziej konkurencyjną na rynku. Przydatność jednak tych form wspomagania działalności, jako skutecznych „strażników” zasobów firmy, jest udowodniona. Wszechstronność i uniwersalność kreowania nowoczesnych metod controllingu i audytu wymagają rzetelnej i zgodnej z przepisami, bogatej dokumentacji. Często od takiej dokumentacji zależy los wielu ton produktów czy tonokilometrów pracy przewozowej, a także wielkości kosztów logistycznych W konsekwencji jej poprawność stanowi niejednokrotnie podstawę skuteczności procesów logistycznych w przedsiębiorstwie.</w:t>
      </w:r>
    </w:p>
    <w:p w:rsidR="0066756D" w:rsidRDefault="0066756D" w:rsidP="00A64843">
      <w:pPr>
        <w:spacing w:after="0" w:line="240" w:lineRule="auto"/>
        <w:jc w:val="both"/>
        <w:rPr>
          <w:rFonts w:ascii="Arial" w:hAnsi="Arial" w:cs="Arial"/>
          <w:sz w:val="20"/>
          <w:szCs w:val="20"/>
        </w:rPr>
      </w:pPr>
    </w:p>
    <w:p w:rsidR="0066756D" w:rsidRDefault="0066756D" w:rsidP="00A64843">
      <w:pPr>
        <w:spacing w:after="0" w:line="240" w:lineRule="auto"/>
        <w:jc w:val="both"/>
      </w:pPr>
      <w:r>
        <w:rPr>
          <w:rStyle w:val="Uwydatnienie"/>
          <w:rFonts w:ascii="Arial" w:hAnsi="Arial" w:cs="Arial"/>
          <w:sz w:val="20"/>
          <w:szCs w:val="20"/>
        </w:rPr>
        <w:t>Więcej informacji na temat zarządzania logistyką w firmie na rynku krajowym, międzynarodowym i globalnym</w:t>
      </w:r>
      <w:r w:rsidR="00A12E4E">
        <w:rPr>
          <w:rStyle w:val="Uwydatnienie"/>
          <w:rFonts w:ascii="Arial" w:hAnsi="Arial" w:cs="Arial"/>
          <w:sz w:val="20"/>
          <w:szCs w:val="20"/>
        </w:rPr>
        <w:t>:</w:t>
      </w:r>
      <w:r>
        <w:rPr>
          <w:rStyle w:val="Uwydatnienie"/>
          <w:rFonts w:ascii="Arial" w:hAnsi="Arial" w:cs="Arial"/>
          <w:sz w:val="20"/>
          <w:szCs w:val="20"/>
        </w:rPr>
        <w:t xml:space="preserve"> „Logistyka w gospodarce światowej” Elżbie</w:t>
      </w:r>
      <w:bookmarkStart w:id="0" w:name="_GoBack"/>
      <w:bookmarkEnd w:id="0"/>
      <w:r>
        <w:rPr>
          <w:rStyle w:val="Uwydatnienie"/>
          <w:rFonts w:ascii="Arial" w:hAnsi="Arial" w:cs="Arial"/>
          <w:sz w:val="20"/>
          <w:szCs w:val="20"/>
        </w:rPr>
        <w:t>t</w:t>
      </w:r>
      <w:r w:rsidR="00A12E4E">
        <w:rPr>
          <w:rStyle w:val="Uwydatnienie"/>
          <w:rFonts w:ascii="Arial" w:hAnsi="Arial" w:cs="Arial"/>
          <w:sz w:val="20"/>
          <w:szCs w:val="20"/>
        </w:rPr>
        <w:t>a</w:t>
      </w:r>
      <w:r>
        <w:rPr>
          <w:rStyle w:val="Uwydatnienie"/>
          <w:rFonts w:ascii="Arial" w:hAnsi="Arial" w:cs="Arial"/>
          <w:sz w:val="20"/>
          <w:szCs w:val="20"/>
        </w:rPr>
        <w:t xml:space="preserve"> Gołembsk</w:t>
      </w:r>
      <w:r w:rsidR="00A12E4E">
        <w:rPr>
          <w:rStyle w:val="Uwydatnienie"/>
          <w:rFonts w:ascii="Arial" w:hAnsi="Arial" w:cs="Arial"/>
          <w:sz w:val="20"/>
          <w:szCs w:val="20"/>
        </w:rPr>
        <w:t>a</w:t>
      </w:r>
      <w:r>
        <w:rPr>
          <w:rStyle w:val="Uwydatnienie"/>
          <w:rFonts w:ascii="Arial" w:hAnsi="Arial" w:cs="Arial"/>
          <w:sz w:val="20"/>
          <w:szCs w:val="20"/>
        </w:rPr>
        <w:t xml:space="preserve"> (Wydawnictwo C.H. Beck, 2009).</w:t>
      </w:r>
    </w:p>
    <w:sectPr w:rsidR="0066756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FBB" w:rsidRDefault="00483FBB" w:rsidP="00801510">
      <w:pPr>
        <w:spacing w:after="0" w:line="240" w:lineRule="auto"/>
      </w:pPr>
      <w:r>
        <w:separator/>
      </w:r>
    </w:p>
  </w:endnote>
  <w:endnote w:type="continuationSeparator" w:id="0">
    <w:p w:rsidR="00483FBB" w:rsidRDefault="00483FBB" w:rsidP="0080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969146"/>
      <w:docPartObj>
        <w:docPartGallery w:val="Page Numbers (Bottom of Page)"/>
        <w:docPartUnique/>
      </w:docPartObj>
    </w:sdtPr>
    <w:sdtEndPr/>
    <w:sdtContent>
      <w:p w:rsidR="00801510" w:rsidRDefault="00801510">
        <w:pPr>
          <w:pStyle w:val="Stopka"/>
          <w:jc w:val="right"/>
        </w:pPr>
        <w:r>
          <w:fldChar w:fldCharType="begin"/>
        </w:r>
        <w:r>
          <w:instrText>PAGE   \* MERGEFORMAT</w:instrText>
        </w:r>
        <w:r>
          <w:fldChar w:fldCharType="separate"/>
        </w:r>
        <w:r w:rsidR="0066756D">
          <w:rPr>
            <w:noProof/>
          </w:rPr>
          <w:t>2</w:t>
        </w:r>
        <w:r>
          <w:fldChar w:fldCharType="end"/>
        </w:r>
      </w:p>
    </w:sdtContent>
  </w:sdt>
  <w:p w:rsidR="00801510" w:rsidRDefault="008015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FBB" w:rsidRDefault="00483FBB" w:rsidP="00801510">
      <w:pPr>
        <w:spacing w:after="0" w:line="240" w:lineRule="auto"/>
      </w:pPr>
      <w:r>
        <w:separator/>
      </w:r>
    </w:p>
  </w:footnote>
  <w:footnote w:type="continuationSeparator" w:id="0">
    <w:p w:rsidR="00483FBB" w:rsidRDefault="00483FBB" w:rsidP="00801510">
      <w:pPr>
        <w:spacing w:after="0" w:line="240" w:lineRule="auto"/>
      </w:pPr>
      <w:r>
        <w:continuationSeparator/>
      </w:r>
    </w:p>
  </w:footnote>
  <w:footnote w:id="1">
    <w:p w:rsidR="0066756D" w:rsidRDefault="0066756D">
      <w:pPr>
        <w:pStyle w:val="Tekstprzypisudolnego"/>
      </w:pPr>
      <w:r>
        <w:rPr>
          <w:rStyle w:val="Odwoanieprzypisudolnego"/>
        </w:rPr>
        <w:footnoteRef/>
      </w:r>
      <w:r>
        <w:t xml:space="preserve"> </w:t>
      </w:r>
      <w:r w:rsidRPr="0066756D">
        <w:t>http://www.bankier.pl/wiadomosc/Logistyka-a-rozliczanie-kosztow-2062319.html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in;height:3in" o:bullet="t"/>
    </w:pict>
  </w:numPicBullet>
  <w:numPicBullet w:numPicBulletId="1">
    <w:pict>
      <v:shape id="_x0000_i1057" type="#_x0000_t75" style="width:3in;height:3in" o:bullet="t"/>
    </w:pict>
  </w:numPicBullet>
  <w:numPicBullet w:numPicBulletId="2">
    <w:pict>
      <v:shape id="_x0000_i1058" type="#_x0000_t75" style="width:3in;height:3in" o:bullet="t"/>
    </w:pict>
  </w:numPicBullet>
  <w:numPicBullet w:numPicBulletId="3">
    <w:pict>
      <v:shape id="_x0000_i1059" type="#_x0000_t75" style="width:3in;height:3in" o:bullet="t"/>
    </w:pict>
  </w:numPicBullet>
  <w:numPicBullet w:numPicBulletId="4">
    <w:pict>
      <v:shape id="_x0000_i1060" type="#_x0000_t75" style="width:3in;height:3in" o:bullet="t"/>
    </w:pict>
  </w:numPicBullet>
  <w:numPicBullet w:numPicBulletId="5">
    <w:pict>
      <v:shape id="_x0000_i1061" type="#_x0000_t75" style="width:3in;height:3in" o:bullet="t"/>
    </w:pict>
  </w:numPicBullet>
  <w:abstractNum w:abstractNumId="0" w15:restartNumberingAfterBreak="0">
    <w:nsid w:val="05E42358"/>
    <w:multiLevelType w:val="hybridMultilevel"/>
    <w:tmpl w:val="2C92310C"/>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04A434C"/>
    <w:multiLevelType w:val="multilevel"/>
    <w:tmpl w:val="019A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04DD3"/>
    <w:multiLevelType w:val="multilevel"/>
    <w:tmpl w:val="CE80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C0C21"/>
    <w:multiLevelType w:val="hybridMultilevel"/>
    <w:tmpl w:val="FD0EC5D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41C1D46"/>
    <w:multiLevelType w:val="multilevel"/>
    <w:tmpl w:val="6F80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D83D82"/>
    <w:multiLevelType w:val="hybridMultilevel"/>
    <w:tmpl w:val="D6366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F10"/>
    <w:rsid w:val="002A60F4"/>
    <w:rsid w:val="002D7F10"/>
    <w:rsid w:val="003F6058"/>
    <w:rsid w:val="00433539"/>
    <w:rsid w:val="00483FBB"/>
    <w:rsid w:val="005B4C15"/>
    <w:rsid w:val="005D1F1E"/>
    <w:rsid w:val="00651575"/>
    <w:rsid w:val="0066756D"/>
    <w:rsid w:val="00801510"/>
    <w:rsid w:val="00A05D99"/>
    <w:rsid w:val="00A12E4E"/>
    <w:rsid w:val="00A64843"/>
    <w:rsid w:val="00CA04B7"/>
    <w:rsid w:val="00F969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75ABA"/>
  <w15:docId w15:val="{2FEAE5C7-92C7-4554-BC5A-ED293C41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A60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A60F4"/>
    <w:pPr>
      <w:ind w:left="720"/>
      <w:contextualSpacing/>
    </w:pPr>
  </w:style>
  <w:style w:type="paragraph" w:styleId="Nagwek">
    <w:name w:val="header"/>
    <w:basedOn w:val="Normalny"/>
    <w:link w:val="NagwekZnak"/>
    <w:uiPriority w:val="99"/>
    <w:unhideWhenUsed/>
    <w:rsid w:val="008015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1510"/>
  </w:style>
  <w:style w:type="paragraph" w:styleId="Stopka">
    <w:name w:val="footer"/>
    <w:basedOn w:val="Normalny"/>
    <w:link w:val="StopkaZnak"/>
    <w:uiPriority w:val="99"/>
    <w:unhideWhenUsed/>
    <w:rsid w:val="008015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1510"/>
  </w:style>
  <w:style w:type="paragraph" w:styleId="Tekstdymka">
    <w:name w:val="Balloon Text"/>
    <w:basedOn w:val="Normalny"/>
    <w:link w:val="TekstdymkaZnak"/>
    <w:uiPriority w:val="99"/>
    <w:semiHidden/>
    <w:unhideWhenUsed/>
    <w:rsid w:val="003F605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6058"/>
    <w:rPr>
      <w:rFonts w:ascii="Tahoma" w:hAnsi="Tahoma" w:cs="Tahoma"/>
      <w:sz w:val="16"/>
      <w:szCs w:val="16"/>
    </w:rPr>
  </w:style>
  <w:style w:type="character" w:styleId="Uwydatnienie">
    <w:name w:val="Emphasis"/>
    <w:basedOn w:val="Domylnaczcionkaakapitu"/>
    <w:uiPriority w:val="20"/>
    <w:qFormat/>
    <w:rsid w:val="0066756D"/>
    <w:rPr>
      <w:i/>
      <w:iCs/>
    </w:rPr>
  </w:style>
  <w:style w:type="paragraph" w:styleId="Tekstprzypisudolnego">
    <w:name w:val="footnote text"/>
    <w:basedOn w:val="Normalny"/>
    <w:link w:val="TekstprzypisudolnegoZnak"/>
    <w:uiPriority w:val="99"/>
    <w:semiHidden/>
    <w:unhideWhenUsed/>
    <w:rsid w:val="0066756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6756D"/>
    <w:rPr>
      <w:sz w:val="20"/>
      <w:szCs w:val="20"/>
    </w:rPr>
  </w:style>
  <w:style w:type="character" w:styleId="Odwoanieprzypisudolnego">
    <w:name w:val="footnote reference"/>
    <w:basedOn w:val="Domylnaczcionkaakapitu"/>
    <w:uiPriority w:val="99"/>
    <w:semiHidden/>
    <w:unhideWhenUsed/>
    <w:rsid w:val="006675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7699">
      <w:bodyDiv w:val="1"/>
      <w:marLeft w:val="0"/>
      <w:marRight w:val="0"/>
      <w:marTop w:val="0"/>
      <w:marBottom w:val="0"/>
      <w:divBdr>
        <w:top w:val="none" w:sz="0" w:space="0" w:color="auto"/>
        <w:left w:val="none" w:sz="0" w:space="0" w:color="auto"/>
        <w:bottom w:val="none" w:sz="0" w:space="0" w:color="auto"/>
        <w:right w:val="none" w:sz="0" w:space="0" w:color="auto"/>
      </w:divBdr>
      <w:divsChild>
        <w:div w:id="221522587">
          <w:marLeft w:val="0"/>
          <w:marRight w:val="0"/>
          <w:marTop w:val="0"/>
          <w:marBottom w:val="0"/>
          <w:divBdr>
            <w:top w:val="none" w:sz="0" w:space="0" w:color="auto"/>
            <w:left w:val="none" w:sz="0" w:space="0" w:color="auto"/>
            <w:bottom w:val="none" w:sz="0" w:space="0" w:color="auto"/>
            <w:right w:val="none" w:sz="0" w:space="0" w:color="auto"/>
          </w:divBdr>
          <w:divsChild>
            <w:div w:id="555093884">
              <w:marLeft w:val="0"/>
              <w:marRight w:val="0"/>
              <w:marTop w:val="150"/>
              <w:marBottom w:val="0"/>
              <w:divBdr>
                <w:top w:val="none" w:sz="0" w:space="0" w:color="auto"/>
                <w:left w:val="none" w:sz="0" w:space="0" w:color="auto"/>
                <w:bottom w:val="none" w:sz="0" w:space="0" w:color="auto"/>
                <w:right w:val="none" w:sz="0" w:space="0" w:color="auto"/>
              </w:divBdr>
              <w:divsChild>
                <w:div w:id="396905535">
                  <w:marLeft w:val="0"/>
                  <w:marRight w:val="0"/>
                  <w:marTop w:val="225"/>
                  <w:marBottom w:val="150"/>
                  <w:divBdr>
                    <w:top w:val="none" w:sz="0" w:space="0" w:color="auto"/>
                    <w:left w:val="none" w:sz="0" w:space="0" w:color="auto"/>
                    <w:bottom w:val="none" w:sz="0" w:space="0" w:color="auto"/>
                    <w:right w:val="none" w:sz="0" w:space="0" w:color="auto"/>
                  </w:divBdr>
                  <w:divsChild>
                    <w:div w:id="262541043">
                      <w:marLeft w:val="0"/>
                      <w:marRight w:val="0"/>
                      <w:marTop w:val="0"/>
                      <w:marBottom w:val="0"/>
                      <w:divBdr>
                        <w:top w:val="none" w:sz="0" w:space="0" w:color="auto"/>
                        <w:left w:val="none" w:sz="0" w:space="0" w:color="auto"/>
                        <w:bottom w:val="none" w:sz="0" w:space="0" w:color="auto"/>
                        <w:right w:val="none" w:sz="0" w:space="0" w:color="auto"/>
                      </w:divBdr>
                      <w:divsChild>
                        <w:div w:id="34309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805950">
      <w:bodyDiv w:val="1"/>
      <w:marLeft w:val="0"/>
      <w:marRight w:val="0"/>
      <w:marTop w:val="0"/>
      <w:marBottom w:val="0"/>
      <w:divBdr>
        <w:top w:val="none" w:sz="0" w:space="0" w:color="auto"/>
        <w:left w:val="none" w:sz="0" w:space="0" w:color="auto"/>
        <w:bottom w:val="none" w:sz="0" w:space="0" w:color="auto"/>
        <w:right w:val="none" w:sz="0" w:space="0" w:color="auto"/>
      </w:divBdr>
      <w:divsChild>
        <w:div w:id="584152130">
          <w:marLeft w:val="0"/>
          <w:marRight w:val="0"/>
          <w:marTop w:val="0"/>
          <w:marBottom w:val="0"/>
          <w:divBdr>
            <w:top w:val="none" w:sz="0" w:space="0" w:color="auto"/>
            <w:left w:val="none" w:sz="0" w:space="0" w:color="auto"/>
            <w:bottom w:val="none" w:sz="0" w:space="0" w:color="auto"/>
            <w:right w:val="none" w:sz="0" w:space="0" w:color="auto"/>
          </w:divBdr>
          <w:divsChild>
            <w:div w:id="1474369345">
              <w:marLeft w:val="0"/>
              <w:marRight w:val="0"/>
              <w:marTop w:val="150"/>
              <w:marBottom w:val="0"/>
              <w:divBdr>
                <w:top w:val="none" w:sz="0" w:space="0" w:color="auto"/>
                <w:left w:val="none" w:sz="0" w:space="0" w:color="auto"/>
                <w:bottom w:val="none" w:sz="0" w:space="0" w:color="auto"/>
                <w:right w:val="none" w:sz="0" w:space="0" w:color="auto"/>
              </w:divBdr>
              <w:divsChild>
                <w:div w:id="1569458546">
                  <w:marLeft w:val="0"/>
                  <w:marRight w:val="0"/>
                  <w:marTop w:val="225"/>
                  <w:marBottom w:val="150"/>
                  <w:divBdr>
                    <w:top w:val="none" w:sz="0" w:space="0" w:color="auto"/>
                    <w:left w:val="none" w:sz="0" w:space="0" w:color="auto"/>
                    <w:bottom w:val="none" w:sz="0" w:space="0" w:color="auto"/>
                    <w:right w:val="none" w:sz="0" w:space="0" w:color="auto"/>
                  </w:divBdr>
                  <w:divsChild>
                    <w:div w:id="353724639">
                      <w:marLeft w:val="0"/>
                      <w:marRight w:val="0"/>
                      <w:marTop w:val="0"/>
                      <w:marBottom w:val="0"/>
                      <w:divBdr>
                        <w:top w:val="none" w:sz="0" w:space="0" w:color="auto"/>
                        <w:left w:val="none" w:sz="0" w:space="0" w:color="auto"/>
                        <w:bottom w:val="none" w:sz="0" w:space="0" w:color="auto"/>
                        <w:right w:val="none" w:sz="0" w:space="0" w:color="auto"/>
                      </w:divBdr>
                      <w:divsChild>
                        <w:div w:id="9843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CE458-DC59-4CFE-ADEF-065D9C83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1577</Words>
  <Characters>9466</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Joanna Nak</cp:lastModifiedBy>
  <cp:revision>10</cp:revision>
  <dcterms:created xsi:type="dcterms:W3CDTF">2014-02-23T14:30:00Z</dcterms:created>
  <dcterms:modified xsi:type="dcterms:W3CDTF">2018-11-16T17:32:00Z</dcterms:modified>
</cp:coreProperties>
</file>