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ABC" w:rsidRPr="00742964" w:rsidRDefault="00C8173D" w:rsidP="00742964">
      <w:pPr>
        <w:jc w:val="center"/>
        <w:rPr>
          <w:b/>
        </w:rPr>
      </w:pPr>
      <w:r w:rsidRPr="00742964">
        <w:rPr>
          <w:b/>
        </w:rPr>
        <w:t>WPŁYW ZARZĄDZANIA LOGISTYKĄ NA WYNIK PRZEDSIĘBIORSTWA</w:t>
      </w:r>
    </w:p>
    <w:p w:rsidR="00C8173D" w:rsidRDefault="00C8173D" w:rsidP="00C8173D">
      <w:pPr>
        <w:spacing w:after="0" w:line="240" w:lineRule="auto"/>
        <w:jc w:val="both"/>
      </w:pPr>
      <w:r>
        <w:t xml:space="preserve">Celem zarządzania logistyką jest skuteczna realizacja strategii logistyki, wspomagającej i warunkującej strategię przedsiębiorstwa. Wszelkie działania logistyki są podporządkowane celom nadrzędnym przedsiębiorstwa – wspomaganiu kształtowania warunków osiągania założonych wyników w dłuższym horyzoncie czasowym (wzrostu wartości i rentowności przedsiębiorstwa), a w krótkim horyzoncie – najczęściej maksymalizacji zysku w odniesieniu do zaangażowanego kapitału. Kompleksowe oddziaływanie logistyki na zasoby, procesy i produkty przedsiębiorstwa powoduje jednocześnie oddziaływanie na wszystkie sfery kształtowania wyniku przedsiębiorstwa – na koszty, przychody i zwrot z inwestycji w przedsiębiorstwo. </w:t>
      </w:r>
    </w:p>
    <w:p w:rsidR="00340DBF" w:rsidRDefault="00340DBF" w:rsidP="00C8173D">
      <w:pPr>
        <w:spacing w:after="0" w:line="240" w:lineRule="auto"/>
        <w:jc w:val="both"/>
      </w:pPr>
    </w:p>
    <w:p w:rsidR="00DC2292" w:rsidRDefault="00D17655" w:rsidP="00C8173D">
      <w:pPr>
        <w:spacing w:after="0" w:line="240" w:lineRule="auto"/>
        <w:jc w:val="both"/>
      </w:pPr>
      <w:r>
        <w:rPr>
          <w:noProof/>
          <w:lang w:eastAsia="pl-PL"/>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657850" cy="1403985"/>
                <wp:effectExtent l="0" t="0" r="19050" b="22225"/>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1403985"/>
                        </a:xfrm>
                        <a:prstGeom prst="rect">
                          <a:avLst/>
                        </a:prstGeom>
                        <a:solidFill>
                          <a:srgbClr val="FFFFFF"/>
                        </a:solidFill>
                        <a:ln w="9525">
                          <a:solidFill>
                            <a:srgbClr val="000000"/>
                          </a:solidFill>
                          <a:miter lim="800000"/>
                          <a:headEnd/>
                          <a:tailEnd/>
                        </a:ln>
                      </wps:spPr>
                      <wps:txbx>
                        <w:txbxContent>
                          <w:p w:rsidR="004E40E2" w:rsidRDefault="004E40E2" w:rsidP="00D17655">
                            <w:pPr>
                              <w:spacing w:after="0" w:line="240" w:lineRule="auto"/>
                              <w:jc w:val="both"/>
                            </w:pPr>
                            <w:r>
                              <w:t>W zasobach logistycznych jest zaangażowany znaczny majątek przedsiębiorstwa (znaczący udział w wartości ogółu aktywów trwałych przedsiębiorstwa) w postaci obiektów magazynowych i ich wyposażenia służącego do manipulacji i magazynowania produktów. Znaczącą wartość mają także środki transportu wewnętrznego i zewnętrznego, systemy informatyczne lokalne oraz globalne platformy elektroniczne współpracy w łańcuchach dostaw  z dostawcami i odbiorcami. Wywołuje to z jednej strony koszty związane z utrzymaniem                i eksploatacją tego majątku, a z drugiej takiego wykorzystania, aby zwrócił się kapitał w niego zainwestowany.</w:t>
                            </w:r>
                          </w:p>
                          <w:p w:rsidR="004E40E2" w:rsidRDefault="004E40E2" w:rsidP="00D17655">
                            <w:pPr>
                              <w:spacing w:after="0" w:line="240" w:lineRule="auto"/>
                              <w:jc w:val="both"/>
                            </w:pPr>
                          </w:p>
                          <w:p w:rsidR="004E40E2" w:rsidRDefault="004E40E2" w:rsidP="00D17655">
                            <w:pPr>
                              <w:spacing w:after="0" w:line="240" w:lineRule="auto"/>
                              <w:jc w:val="both"/>
                            </w:pPr>
                            <w:r>
                              <w:t>W procesach logistycznych jest zatrudnionych wielu pracowników, niejednokrotnie specjalistów o wysokich kwalifikacjach, co powoduje wysokie koszty pracy i wymaga śledzenia efektywności wykonywanej pracy.</w:t>
                            </w:r>
                          </w:p>
                          <w:p w:rsidR="004E40E2" w:rsidRDefault="004E40E2" w:rsidP="00D17655">
                            <w:pPr>
                              <w:spacing w:after="0" w:line="240" w:lineRule="auto"/>
                              <w:jc w:val="both"/>
                            </w:pPr>
                          </w:p>
                          <w:p w:rsidR="004E40E2" w:rsidRDefault="004E40E2" w:rsidP="00D17655">
                            <w:pPr>
                              <w:spacing w:after="0" w:line="240" w:lineRule="auto"/>
                              <w:jc w:val="both"/>
                            </w:pPr>
                            <w:r>
                              <w:t>Realizowane procesy logistyczne wywołują mniej lub bardziej sprawny obrót gospodarczy, szybszą lub wolniejszą akumulację zysku, kapitał zamrożony w cyklu gospodarczym, powstawanie zapasów na różnych etapach przepływu materiałowego, poziom obsługi klienta rzutujący na wielkość sprzedaży i wiele innych konsekwencji.</w:t>
                            </w:r>
                          </w:p>
                          <w:p w:rsidR="004E40E2" w:rsidRDefault="004E40E2" w:rsidP="00340DBF">
                            <w:pPr>
                              <w:spacing w:after="0" w:line="240" w:lineRule="auto"/>
                              <w:jc w:val="both"/>
                            </w:pPr>
                          </w:p>
                          <w:p w:rsidR="004E40E2" w:rsidRDefault="004E40E2" w:rsidP="00340DBF">
                            <w:pPr>
                              <w:spacing w:after="0" w:line="240" w:lineRule="auto"/>
                              <w:jc w:val="both"/>
                            </w:pPr>
                            <w:r>
                              <w:t>Uogólniając oprócz analizy efektywności samego systemu logistycznego przedsiębiorstwa, ważny jest także wpływ tego systemu i procesów logistycznych na system całego przedsiębiorstwa i realizowane procesy biznesowe.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left:0;text-align:left;margin-left:0;margin-top:0;width:445.5pt;height:110.5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">
                <v:textbox style="mso-fit-shape-to-text:t">
                  <w:txbxContent>
                    <w:p w:rsidR="004E40E2" w:rsidRDefault="004E40E2" w:rsidP="00D17655">
                      <w:pPr>
                        <w:spacing w:after="0" w:line="240" w:lineRule="auto"/>
                        <w:jc w:val="both"/>
                      </w:pPr>
                      <w:r>
                        <w:t>W zasobach logistycznych jest zaangażowany znaczny majątek przedsiębiorstwa (znaczący udział w wartości ogółu aktywów trwałych przedsiębiorstwa) w postaci obiektów magazynowych i ich wyposażenia służącego do manipulacji i magazynowania produktów. Znaczącą wartość mają także środki transportu wewnętrznego i zewnętrznego, systemy informatyczne lokalne oraz globalne platformy elektroniczne współpracy w łańcuchach dostaw  z dostawcami i odbiorcami. Wywołuje to z jednej strony koszty związane z utrzymaniem                i eksploatacją tego majątku, a z drugiej takiego wykorzystania, aby zwrócił się kapitał w niego zainwestowany.</w:t>
                      </w:r>
                    </w:p>
                    <w:p w:rsidR="004E40E2" w:rsidRDefault="004E40E2" w:rsidP="00D17655">
                      <w:pPr>
                        <w:spacing w:after="0" w:line="240" w:lineRule="auto"/>
                        <w:jc w:val="both"/>
                      </w:pPr>
                    </w:p>
                    <w:p w:rsidR="004E40E2" w:rsidRDefault="004E40E2" w:rsidP="00D17655">
                      <w:pPr>
                        <w:spacing w:after="0" w:line="240" w:lineRule="auto"/>
                        <w:jc w:val="both"/>
                      </w:pPr>
                      <w:r>
                        <w:t>W procesach logistycznych jest zatrudnionych wielu pracowników, niejednokrotnie specjalistów o wysokich kwalifikacjach, co powoduje wysokie koszty pracy i wymaga śledzenia efektywności wykonywanej pracy.</w:t>
                      </w:r>
                    </w:p>
                    <w:p w:rsidR="004E40E2" w:rsidRDefault="004E40E2" w:rsidP="00D17655">
                      <w:pPr>
                        <w:spacing w:after="0" w:line="240" w:lineRule="auto"/>
                        <w:jc w:val="both"/>
                      </w:pPr>
                    </w:p>
                    <w:p w:rsidR="004E40E2" w:rsidRDefault="004E40E2" w:rsidP="00D17655">
                      <w:pPr>
                        <w:spacing w:after="0" w:line="240" w:lineRule="auto"/>
                        <w:jc w:val="both"/>
                      </w:pPr>
                      <w:r>
                        <w:t>Realizowane procesy logistyczne wywołują mniej lub bardziej sprawny obrót gospodarczy, szybszą lub wolniejszą akumulację zysku, kapitał zamrożony w cyklu gospodarczym, powstawanie zapasów na różnych etapach przepływu materiałowego, poziom obsługi klienta rzutujący na wielkość sprzedaży i wiele innych konsekwencji.</w:t>
                      </w:r>
                    </w:p>
                    <w:p w:rsidR="004E40E2" w:rsidRDefault="004E40E2" w:rsidP="00340DBF">
                      <w:pPr>
                        <w:spacing w:after="0" w:line="240" w:lineRule="auto"/>
                        <w:jc w:val="both"/>
                      </w:pPr>
                    </w:p>
                    <w:p w:rsidR="004E40E2" w:rsidRDefault="004E40E2" w:rsidP="00340DBF">
                      <w:pPr>
                        <w:spacing w:after="0" w:line="240" w:lineRule="auto"/>
                        <w:jc w:val="both"/>
                      </w:pPr>
                      <w:r>
                        <w:t>Uogólniając oprócz analizy efektywności samego systemu logistycznego przedsiębiorstwa, ważny jest także wpływ tego systemu i procesów logistycznych na system całego przedsiębiorstwa i realizowane procesy biznesowe.</w:t>
                      </w:r>
                    </w:p>
                  </w:txbxContent>
                </v:textbox>
              </v:shape>
            </w:pict>
          </mc:Fallback>
        </mc:AlternateContent>
      </w:r>
    </w:p>
    <w:p w:rsidR="004C197F" w:rsidRDefault="004C197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340DBF" w:rsidRDefault="00340DBF" w:rsidP="00C8173D">
      <w:pPr>
        <w:spacing w:after="0" w:line="240" w:lineRule="auto"/>
        <w:jc w:val="both"/>
      </w:pPr>
    </w:p>
    <w:p w:rsidR="004C197F" w:rsidRDefault="004C197F" w:rsidP="00C8173D">
      <w:pPr>
        <w:spacing w:after="0" w:line="240" w:lineRule="auto"/>
        <w:jc w:val="both"/>
      </w:pPr>
      <w:r>
        <w:t>W związku z tym jednym z obszarów analiz controllingu logistyki jest analiza wpływu bieżących działań i sposobu zarządzania logistyką na wynik przedsiębiorstwa.</w:t>
      </w:r>
      <w:r w:rsidR="00992E80">
        <w:t xml:space="preserve"> Jeżeli controlling ma prawidłowo wspomagać kadrę menedżerską w podejmowaniu decyzji kształtujących wynik przedsiębiorstwa, powinien systemowo badać wpływ tych decyzji na wynik końcowy (poziom zysku i wskaźniki bazujące na</w:t>
      </w:r>
      <w:r w:rsidR="00186040">
        <w:t xml:space="preserve"> zysku – rentowność kapitału, majątku, sprzedaży) oraz wyniki częściowe (wskaźniki obrotowości, płynności finansowej i inne). Wyniki finansowe przedsiębiorstwa</w:t>
      </w:r>
      <w:r w:rsidR="00E101FC">
        <w:t xml:space="preserve"> odzwierciedlają rezultaty jego działalności – główny obszar zainteresowania analizy finansowej, natomiast przyczyny kształtowania wyników tkwią w wykorzystaniu czynników produkcji – główny obszar zainteresowania analizy techniczno-ekonomicznej (w tym analizy operacyjnej). </w:t>
      </w:r>
    </w:p>
    <w:p w:rsidR="00E101FC" w:rsidRDefault="00E101FC" w:rsidP="00C8173D">
      <w:pPr>
        <w:spacing w:after="0" w:line="240" w:lineRule="auto"/>
        <w:jc w:val="both"/>
      </w:pPr>
    </w:p>
    <w:p w:rsidR="00E101FC" w:rsidRDefault="00E101FC" w:rsidP="00C8173D">
      <w:pPr>
        <w:spacing w:after="0" w:line="240" w:lineRule="auto"/>
        <w:jc w:val="both"/>
      </w:pPr>
      <w:r>
        <w:t xml:space="preserve">Wynik finansowy </w:t>
      </w:r>
    </w:p>
    <w:p w:rsidR="00E101FC" w:rsidRDefault="00E101FC" w:rsidP="00C8173D">
      <w:pPr>
        <w:spacing w:after="0" w:line="240" w:lineRule="auto"/>
        <w:jc w:val="both"/>
      </w:pPr>
    </w:p>
    <w:p w:rsidR="00E101FC" w:rsidRDefault="00E101FC" w:rsidP="00C8173D">
      <w:pPr>
        <w:spacing w:after="0" w:line="240" w:lineRule="auto"/>
        <w:jc w:val="both"/>
      </w:pPr>
      <w:r>
        <w:t>Analiza wskaźnikowa bazuje wyłącznie na przeszłości firmy, lecz wraz z analizą</w:t>
      </w:r>
      <w:r w:rsidR="00F85D7E">
        <w:t xml:space="preserve"> otoczenia może służyć do przewidywania warunków działania przedsiębiorstwa w przyszłości.</w:t>
      </w:r>
    </w:p>
    <w:p w:rsidR="00F85D7E" w:rsidRDefault="00F85D7E" w:rsidP="00C8173D">
      <w:pPr>
        <w:spacing w:after="0" w:line="240" w:lineRule="auto"/>
        <w:jc w:val="both"/>
      </w:pPr>
    </w:p>
    <w:p w:rsidR="00F85D7E" w:rsidRDefault="00F85D7E" w:rsidP="00C8173D">
      <w:pPr>
        <w:spacing w:after="0" w:line="240" w:lineRule="auto"/>
        <w:jc w:val="both"/>
      </w:pPr>
      <w:r>
        <w:t xml:space="preserve">Zarządzanie logistyką przedsiębiorstwa kształtuje zarówno jego stan finansowy odzwierciedlony                 w bilansie przedsiębiorstwa, jak i wynik finansowy, przedstawiony w rachunku wyników. </w:t>
      </w:r>
      <w:r w:rsidR="00925D37">
        <w:t xml:space="preserve">Analiza konsekwencji podejmowanych decyzji logistycznych dla stanu majątku przedsiębiorstwa (aktywów </w:t>
      </w:r>
      <w:r w:rsidR="00925D37">
        <w:lastRenderedPageBreak/>
        <w:t xml:space="preserve">trwałych i obrotowych) oraz źródeł jego finansowania – kapitałów własnych i obcych, jest jedną z istotnych czynności controllingu. Świadomość logistyków co do kształtowania struktury aktywów, poprzez np. decyzję o zakupie suwnicy magazynowej czy środków transportu, a także o poziomie gromadzonych zapasów, czyni tę decyzję bardziej odpowiedzialną. </w:t>
      </w:r>
    </w:p>
    <w:p w:rsidR="00925D37" w:rsidRDefault="00925D37" w:rsidP="00C8173D">
      <w:pPr>
        <w:spacing w:after="0" w:line="240" w:lineRule="auto"/>
        <w:jc w:val="both"/>
      </w:pPr>
    </w:p>
    <w:p w:rsidR="000F3AE1" w:rsidRPr="000559A4" w:rsidRDefault="000F3AE1" w:rsidP="000F3AE1">
      <w:pPr>
        <w:spacing w:after="0" w:line="240" w:lineRule="auto"/>
        <w:jc w:val="both"/>
      </w:pPr>
    </w:p>
    <w:p w:rsidR="000F3AE1" w:rsidRPr="000559A4" w:rsidRDefault="000F3AE1" w:rsidP="000F3AE1">
      <w:pPr>
        <w:spacing w:after="0" w:line="240" w:lineRule="auto"/>
        <w:jc w:val="both"/>
      </w:pPr>
      <w:r w:rsidRPr="000559A4">
        <w:t>Wielokierunkowy wpływ zarządzania logistyką na bilans przedsiębiorstwa:</w:t>
      </w:r>
    </w:p>
    <w:tbl>
      <w:tblPr>
        <w:tblStyle w:val="Tabela-Siatka1"/>
        <w:tblW w:w="0" w:type="auto"/>
        <w:tblLook w:val="04A0" w:firstRow="1" w:lastRow="0" w:firstColumn="1" w:lastColumn="0" w:noHBand="0" w:noVBand="1"/>
      </w:tblPr>
      <w:tblGrid>
        <w:gridCol w:w="4606"/>
        <w:gridCol w:w="4606"/>
      </w:tblGrid>
      <w:tr w:rsidR="000F3AE1" w:rsidRPr="000559A4" w:rsidTr="00D65BC0">
        <w:tc>
          <w:tcPr>
            <w:tcW w:w="4606" w:type="dxa"/>
          </w:tcPr>
          <w:p w:rsidR="000F3AE1" w:rsidRPr="000559A4" w:rsidRDefault="000F3AE1" w:rsidP="00D65BC0">
            <w:pPr>
              <w:jc w:val="center"/>
            </w:pPr>
            <w:r w:rsidRPr="000559A4">
              <w:t>Pozycja bilansu</w:t>
            </w:r>
          </w:p>
        </w:tc>
        <w:tc>
          <w:tcPr>
            <w:tcW w:w="4606" w:type="dxa"/>
          </w:tcPr>
          <w:p w:rsidR="000F3AE1" w:rsidRPr="000559A4" w:rsidRDefault="000F3AE1" w:rsidP="00D65BC0">
            <w:pPr>
              <w:jc w:val="center"/>
            </w:pPr>
            <w:r w:rsidRPr="000559A4">
              <w:t>Działania logistyki</w:t>
            </w:r>
          </w:p>
        </w:tc>
      </w:tr>
      <w:tr w:rsidR="000F3AE1" w:rsidRPr="000559A4" w:rsidTr="00D65BC0">
        <w:tc>
          <w:tcPr>
            <w:tcW w:w="9212" w:type="dxa"/>
            <w:gridSpan w:val="2"/>
            <w:vAlign w:val="center"/>
          </w:tcPr>
          <w:p w:rsidR="000F3AE1" w:rsidRPr="000559A4" w:rsidRDefault="000F3AE1" w:rsidP="00D65BC0">
            <w:pPr>
              <w:jc w:val="center"/>
              <w:rPr>
                <w:b/>
              </w:rPr>
            </w:pPr>
            <w:r w:rsidRPr="000559A4">
              <w:rPr>
                <w:b/>
              </w:rPr>
              <w:t xml:space="preserve">Aktywa </w:t>
            </w:r>
            <w:r w:rsidRPr="000559A4">
              <w:t>(majątek przedsiębiorstwa)</w:t>
            </w:r>
          </w:p>
        </w:tc>
      </w:tr>
      <w:tr w:rsidR="000F3AE1" w:rsidRPr="000559A4" w:rsidTr="00D65BC0">
        <w:tc>
          <w:tcPr>
            <w:tcW w:w="4606" w:type="dxa"/>
          </w:tcPr>
          <w:p w:rsidR="000F3AE1" w:rsidRPr="000559A4" w:rsidRDefault="000F3AE1" w:rsidP="00D65BC0">
            <w:pPr>
              <w:jc w:val="both"/>
            </w:pPr>
            <w:r w:rsidRPr="000559A4">
              <w:rPr>
                <w:noProof/>
                <w:lang w:eastAsia="pl-PL"/>
              </w:rPr>
              <mc:AlternateContent>
                <mc:Choice Requires="wps">
                  <w:drawing>
                    <wp:anchor distT="0" distB="0" distL="114300" distR="114300" simplePos="0" relativeHeight="251661312" behindDoc="0" locked="0" layoutInCell="1" allowOverlap="1" wp14:anchorId="3C23D06E" wp14:editId="44FFEAD2">
                      <wp:simplePos x="0" y="0"/>
                      <wp:positionH relativeFrom="column">
                        <wp:posOffset>2272030</wp:posOffset>
                      </wp:positionH>
                      <wp:positionV relativeFrom="paragraph">
                        <wp:posOffset>298450</wp:posOffset>
                      </wp:positionV>
                      <wp:extent cx="533400" cy="0"/>
                      <wp:effectExtent l="0" t="76200" r="19050" b="114300"/>
                      <wp:wrapNone/>
                      <wp:docPr id="1" name="Łącznik prosty ze strzałką 1"/>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Łącznik prosty ze strzałką 1" o:spid="_x0000_s1026" type="#_x0000_t32" style="position:absolute;margin-left:178.9pt;margin-top:23.5pt;width:42pt;height: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" strokecolor="#4a7ebb">
                      <v:stroke endarrow="open"/>
                    </v:shape>
                  </w:pict>
                </mc:Fallback>
              </mc:AlternateContent>
            </w:r>
            <w:r w:rsidRPr="000559A4">
              <w:t>Trwałe (grunty, budynki, wyposażenie – środki transportu, systemy informatyczne)</w:t>
            </w:r>
          </w:p>
        </w:tc>
        <w:tc>
          <w:tcPr>
            <w:tcW w:w="4606" w:type="dxa"/>
          </w:tcPr>
          <w:p w:rsidR="000F3AE1" w:rsidRPr="000559A4" w:rsidRDefault="000F3AE1" w:rsidP="00D65BC0">
            <w:pPr>
              <w:jc w:val="both"/>
            </w:pPr>
            <w:r w:rsidRPr="000559A4">
              <w:t xml:space="preserve">Magazyny dystrybucji, zaopatrzenia, magazyny śródprodukcyjne, wyposażenie magazynów dostosowane do obrotu ładunkiem; środki transportu i wyposażenie dostosowane do rodzaju i wielkości ładunku, wymagań klientów; systemy informatyczne i urządzenia transmisji danych. </w:t>
            </w:r>
          </w:p>
        </w:tc>
      </w:tr>
      <w:tr w:rsidR="000F3AE1" w:rsidRPr="000559A4" w:rsidTr="00D65BC0">
        <w:tc>
          <w:tcPr>
            <w:tcW w:w="4606" w:type="dxa"/>
          </w:tcPr>
          <w:p w:rsidR="000F3AE1" w:rsidRPr="000559A4" w:rsidRDefault="000F3AE1" w:rsidP="00D65BC0">
            <w:pPr>
              <w:jc w:val="both"/>
            </w:pPr>
            <w:r w:rsidRPr="000559A4">
              <w:t xml:space="preserve">Obrotowe </w:t>
            </w:r>
          </w:p>
          <w:p w:rsidR="000F3AE1" w:rsidRPr="000559A4" w:rsidRDefault="000F3AE1" w:rsidP="000F3AE1">
            <w:pPr>
              <w:numPr>
                <w:ilvl w:val="0"/>
                <w:numId w:val="1"/>
              </w:numPr>
              <w:contextualSpacing/>
              <w:jc w:val="both"/>
            </w:pPr>
            <w:r w:rsidRPr="000559A4">
              <w:rPr>
                <w:noProof/>
                <w:lang w:eastAsia="pl-PL"/>
              </w:rPr>
              <mc:AlternateContent>
                <mc:Choice Requires="wps">
                  <w:drawing>
                    <wp:anchor distT="0" distB="0" distL="114300" distR="114300" simplePos="0" relativeHeight="251662336" behindDoc="0" locked="0" layoutInCell="1" allowOverlap="1" wp14:anchorId="5C1FC285" wp14:editId="497653B0">
                      <wp:simplePos x="0" y="0"/>
                      <wp:positionH relativeFrom="column">
                        <wp:posOffset>2272030</wp:posOffset>
                      </wp:positionH>
                      <wp:positionV relativeFrom="paragraph">
                        <wp:posOffset>110490</wp:posOffset>
                      </wp:positionV>
                      <wp:extent cx="533400" cy="0"/>
                      <wp:effectExtent l="0" t="76200" r="19050" b="114300"/>
                      <wp:wrapNone/>
                      <wp:docPr id="2" name="Łącznik prosty ze strzałką 2"/>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id="Łącznik prosty ze strzałką 2" o:spid="_x0000_s1026" type="#_x0000_t32" style="position:absolute;margin-left:178.9pt;margin-top:8.7pt;width:42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" strokecolor="#4a7ebb">
                      <v:stroke endarrow="open"/>
                    </v:shape>
                  </w:pict>
                </mc:Fallback>
              </mc:AlternateContent>
            </w:r>
            <w:r w:rsidRPr="000559A4">
              <w:t>Zapasy</w:t>
            </w:r>
          </w:p>
          <w:p w:rsidR="000F3AE1" w:rsidRPr="000559A4" w:rsidRDefault="000F3AE1" w:rsidP="00D65BC0">
            <w:pPr>
              <w:jc w:val="both"/>
            </w:pPr>
          </w:p>
          <w:p w:rsidR="000F3AE1" w:rsidRPr="000559A4" w:rsidRDefault="000F3AE1" w:rsidP="00D65BC0">
            <w:pPr>
              <w:jc w:val="both"/>
            </w:pPr>
          </w:p>
          <w:p w:rsidR="000F3AE1" w:rsidRPr="000559A4" w:rsidRDefault="000F3AE1" w:rsidP="00D65BC0">
            <w:pPr>
              <w:jc w:val="both"/>
            </w:pPr>
            <w:r w:rsidRPr="000559A4">
              <w:rPr>
                <w:noProof/>
                <w:lang w:eastAsia="pl-PL"/>
              </w:rPr>
              <mc:AlternateContent>
                <mc:Choice Requires="wps">
                  <w:drawing>
                    <wp:anchor distT="0" distB="0" distL="114300" distR="114300" simplePos="0" relativeHeight="251664384" behindDoc="0" locked="0" layoutInCell="1" allowOverlap="1" wp14:anchorId="568345B3" wp14:editId="0515BC26">
                      <wp:simplePos x="0" y="0"/>
                      <wp:positionH relativeFrom="column">
                        <wp:posOffset>2167255</wp:posOffset>
                      </wp:positionH>
                      <wp:positionV relativeFrom="paragraph">
                        <wp:posOffset>134620</wp:posOffset>
                      </wp:positionV>
                      <wp:extent cx="0" cy="438150"/>
                      <wp:effectExtent l="0" t="0" r="19050" b="19050"/>
                      <wp:wrapNone/>
                      <wp:docPr id="5" name="Łącznik prostoliniowy 5"/>
                      <wp:cNvGraphicFramePr/>
                      <a:graphic xmlns:a="http://schemas.openxmlformats.org/drawingml/2006/main">
                        <a:graphicData uri="http://schemas.microsoft.com/office/word/2010/wordprocessingShape">
                          <wps:wsp>
                            <wps:cNvCnPr/>
                            <wps:spPr>
                              <a:xfrm>
                                <a:off x="0" y="0"/>
                                <a:ext cx="0" cy="43815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Łącznik prostoliniowy 5"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70.65pt,10.6pt" to="170.65pt,4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" strokecolor="#4a7ebb"/>
                  </w:pict>
                </mc:Fallback>
              </mc:AlternateContent>
            </w:r>
          </w:p>
          <w:p w:rsidR="000F3AE1" w:rsidRPr="000559A4" w:rsidRDefault="000F3AE1" w:rsidP="000F3AE1">
            <w:pPr>
              <w:numPr>
                <w:ilvl w:val="0"/>
                <w:numId w:val="1"/>
              </w:numPr>
              <w:contextualSpacing/>
              <w:jc w:val="both"/>
            </w:pPr>
            <w:r w:rsidRPr="000559A4">
              <w:t xml:space="preserve">Należności </w:t>
            </w:r>
          </w:p>
          <w:p w:rsidR="000F3AE1" w:rsidRPr="000559A4" w:rsidRDefault="000F3AE1" w:rsidP="000F3AE1">
            <w:pPr>
              <w:numPr>
                <w:ilvl w:val="0"/>
                <w:numId w:val="1"/>
              </w:numPr>
              <w:contextualSpacing/>
              <w:jc w:val="both"/>
            </w:pPr>
            <w:r w:rsidRPr="000559A4">
              <w:rPr>
                <w:noProof/>
                <w:lang w:eastAsia="pl-PL"/>
              </w:rPr>
              <mc:AlternateContent>
                <mc:Choice Requires="wps">
                  <w:drawing>
                    <wp:anchor distT="0" distB="0" distL="114300" distR="114300" simplePos="0" relativeHeight="251663360" behindDoc="0" locked="0" layoutInCell="1" allowOverlap="1" wp14:anchorId="060E2C47" wp14:editId="68C54987">
                      <wp:simplePos x="0" y="0"/>
                      <wp:positionH relativeFrom="column">
                        <wp:posOffset>2272030</wp:posOffset>
                      </wp:positionH>
                      <wp:positionV relativeFrom="paragraph">
                        <wp:posOffset>24765</wp:posOffset>
                      </wp:positionV>
                      <wp:extent cx="533400" cy="0"/>
                      <wp:effectExtent l="0" t="76200" r="19050" b="114300"/>
                      <wp:wrapNone/>
                      <wp:docPr id="3" name="Łącznik prosty ze strzałką 3"/>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id="Łącznik prosty ze strzałką 3" o:spid="_x0000_s1026" type="#_x0000_t32" style="position:absolute;margin-left:178.9pt;margin-top:1.95pt;width:42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" strokecolor="#4a7ebb">
                      <v:stroke endarrow="open"/>
                    </v:shape>
                  </w:pict>
                </mc:Fallback>
              </mc:AlternateContent>
            </w:r>
            <w:r w:rsidRPr="000559A4">
              <w:t xml:space="preserve">Gotówka </w:t>
            </w:r>
          </w:p>
        </w:tc>
        <w:tc>
          <w:tcPr>
            <w:tcW w:w="4606" w:type="dxa"/>
          </w:tcPr>
          <w:p w:rsidR="000F3AE1" w:rsidRPr="000559A4" w:rsidRDefault="000F3AE1" w:rsidP="00D65BC0">
            <w:pPr>
              <w:jc w:val="both"/>
            </w:pPr>
          </w:p>
          <w:p w:rsidR="000F3AE1" w:rsidRPr="000559A4" w:rsidRDefault="000F3AE1" w:rsidP="00D65BC0">
            <w:pPr>
              <w:jc w:val="both"/>
            </w:pPr>
            <w:r w:rsidRPr="000559A4">
              <w:t>Polityka, zasady i metody realizacji zamówień, zabezpieczenie ciągłości i stabilności procesów, planowanie poziomu obsługi klienta</w:t>
            </w:r>
          </w:p>
          <w:p w:rsidR="000F3AE1" w:rsidRPr="000559A4" w:rsidRDefault="000F3AE1" w:rsidP="00D65BC0">
            <w:pPr>
              <w:jc w:val="both"/>
            </w:pPr>
          </w:p>
          <w:p w:rsidR="000F3AE1" w:rsidRPr="000559A4" w:rsidRDefault="000F3AE1" w:rsidP="00D65BC0">
            <w:pPr>
              <w:jc w:val="both"/>
            </w:pPr>
            <w:r w:rsidRPr="000559A4">
              <w:t xml:space="preserve">Czas cyklu realizacji zamówienia; poziom poprawności realizowanych zamówień, eliminacja błędów i zwrotów – skracające czas zamrożenia gotówki w cyklu realizacji zamówienia; dostosowanie cyklu płatności z tytułu zakupów do bieżących przychodów operacyjnych </w:t>
            </w:r>
          </w:p>
        </w:tc>
      </w:tr>
      <w:tr w:rsidR="000F3AE1" w:rsidRPr="000559A4" w:rsidTr="00D65BC0">
        <w:tc>
          <w:tcPr>
            <w:tcW w:w="9212" w:type="dxa"/>
            <w:gridSpan w:val="2"/>
          </w:tcPr>
          <w:p w:rsidR="000F3AE1" w:rsidRPr="000559A4" w:rsidRDefault="000F3AE1" w:rsidP="00D65BC0">
            <w:pPr>
              <w:jc w:val="center"/>
              <w:rPr>
                <w:b/>
              </w:rPr>
            </w:pPr>
            <w:r w:rsidRPr="000559A4">
              <w:rPr>
                <w:b/>
              </w:rPr>
              <w:t xml:space="preserve">Pasywa </w:t>
            </w:r>
            <w:r w:rsidRPr="000559A4">
              <w:t>(kapitały – źródła finansowania majątku)</w:t>
            </w:r>
          </w:p>
        </w:tc>
      </w:tr>
      <w:tr w:rsidR="000F3AE1" w:rsidRPr="000559A4" w:rsidTr="00D65BC0">
        <w:tc>
          <w:tcPr>
            <w:tcW w:w="4606" w:type="dxa"/>
          </w:tcPr>
          <w:p w:rsidR="000F3AE1" w:rsidRDefault="000F3AE1" w:rsidP="000F3AE1">
            <w:pPr>
              <w:pStyle w:val="Akapitzlist"/>
              <w:numPr>
                <w:ilvl w:val="0"/>
                <w:numId w:val="2"/>
              </w:numPr>
              <w:jc w:val="both"/>
            </w:pPr>
            <w:r w:rsidRPr="000559A4">
              <w:rPr>
                <w:noProof/>
                <w:lang w:eastAsia="pl-PL"/>
              </w:rPr>
              <mc:AlternateContent>
                <mc:Choice Requires="wps">
                  <w:drawing>
                    <wp:anchor distT="0" distB="0" distL="114300" distR="114300" simplePos="0" relativeHeight="251665408" behindDoc="0" locked="0" layoutInCell="1" allowOverlap="1" wp14:anchorId="2A19BFAA" wp14:editId="38DAB506">
                      <wp:simplePos x="0" y="0"/>
                      <wp:positionH relativeFrom="column">
                        <wp:posOffset>2195830</wp:posOffset>
                      </wp:positionH>
                      <wp:positionV relativeFrom="paragraph">
                        <wp:posOffset>29845</wp:posOffset>
                      </wp:positionV>
                      <wp:extent cx="0" cy="438150"/>
                      <wp:effectExtent l="0" t="0" r="19050" b="19050"/>
                      <wp:wrapNone/>
                      <wp:docPr id="6" name="Łącznik prostoliniowy 6"/>
                      <wp:cNvGraphicFramePr/>
                      <a:graphic xmlns:a="http://schemas.openxmlformats.org/drawingml/2006/main">
                        <a:graphicData uri="http://schemas.microsoft.com/office/word/2010/wordprocessingShape">
                          <wps:wsp>
                            <wps:cNvCnPr/>
                            <wps:spPr>
                              <a:xfrm>
                                <a:off x="0" y="0"/>
                                <a:ext cx="0" cy="43815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Łącznik prostoliniowy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72.9pt,2.35pt" to="172.9pt,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" strokecolor="#4a7ebb"/>
                  </w:pict>
                </mc:Fallback>
              </mc:AlternateContent>
            </w:r>
            <w:r>
              <w:t xml:space="preserve">Kapitał własny </w:t>
            </w:r>
          </w:p>
          <w:p w:rsidR="000F3AE1" w:rsidRPr="000559A4" w:rsidRDefault="000F3AE1" w:rsidP="000F3AE1">
            <w:pPr>
              <w:pStyle w:val="Akapitzlist"/>
              <w:numPr>
                <w:ilvl w:val="0"/>
                <w:numId w:val="2"/>
              </w:numPr>
              <w:jc w:val="both"/>
            </w:pPr>
            <w:r w:rsidRPr="000559A4">
              <w:rPr>
                <w:noProof/>
                <w:lang w:eastAsia="pl-PL"/>
              </w:rPr>
              <mc:AlternateContent>
                <mc:Choice Requires="wps">
                  <w:drawing>
                    <wp:anchor distT="0" distB="0" distL="114300" distR="114300" simplePos="0" relativeHeight="251666432" behindDoc="0" locked="0" layoutInCell="1" allowOverlap="1" wp14:anchorId="1FBD304D" wp14:editId="37F2C055">
                      <wp:simplePos x="0" y="0"/>
                      <wp:positionH relativeFrom="column">
                        <wp:posOffset>2319655</wp:posOffset>
                      </wp:positionH>
                      <wp:positionV relativeFrom="paragraph">
                        <wp:posOffset>23495</wp:posOffset>
                      </wp:positionV>
                      <wp:extent cx="533400" cy="0"/>
                      <wp:effectExtent l="0" t="76200" r="19050" b="114300"/>
                      <wp:wrapNone/>
                      <wp:docPr id="7" name="Łącznik prosty ze strzałką 7"/>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id="Łącznik prosty ze strzałką 7" o:spid="_x0000_s1026" type="#_x0000_t32" style="position:absolute;margin-left:182.65pt;margin-top:1.85pt;width:42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" strokecolor="#4a7ebb">
                      <v:stroke endarrow="open"/>
                    </v:shape>
                  </w:pict>
                </mc:Fallback>
              </mc:AlternateContent>
            </w:r>
            <w:r>
              <w:t>Kapitał obcy długoterminowy</w:t>
            </w:r>
          </w:p>
        </w:tc>
        <w:tc>
          <w:tcPr>
            <w:tcW w:w="4606" w:type="dxa"/>
          </w:tcPr>
          <w:p w:rsidR="000F3AE1" w:rsidRPr="000559A4" w:rsidRDefault="000F3AE1" w:rsidP="00D65BC0">
            <w:pPr>
              <w:jc w:val="both"/>
            </w:pPr>
            <w:r>
              <w:t>Kapitał stały – finasowanie infrastruktury logistycznej i wyposażenia; dostosowanie terminów inwestycji logistycznych do możliwości finansowania z kapitałów własnych lub obcych długoterminowych – wymagany wiarygodny obraz kredytobiorcy; kontrola nakładów inwestycyjnych</w:t>
            </w:r>
          </w:p>
        </w:tc>
      </w:tr>
      <w:tr w:rsidR="000F3AE1" w:rsidRPr="000559A4" w:rsidTr="00D65BC0">
        <w:tc>
          <w:tcPr>
            <w:tcW w:w="4606" w:type="dxa"/>
          </w:tcPr>
          <w:p w:rsidR="000F3AE1" w:rsidRPr="000559A4" w:rsidRDefault="000F3AE1" w:rsidP="000F3AE1">
            <w:pPr>
              <w:pStyle w:val="Akapitzlist"/>
              <w:numPr>
                <w:ilvl w:val="0"/>
                <w:numId w:val="2"/>
              </w:numPr>
              <w:jc w:val="both"/>
              <w:rPr>
                <w:noProof/>
                <w:lang w:eastAsia="pl-PL"/>
              </w:rPr>
            </w:pPr>
            <w:r w:rsidRPr="000559A4">
              <w:rPr>
                <w:noProof/>
                <w:lang w:eastAsia="pl-PL"/>
              </w:rPr>
              <mc:AlternateContent>
                <mc:Choice Requires="wps">
                  <w:drawing>
                    <wp:anchor distT="0" distB="0" distL="114300" distR="114300" simplePos="0" relativeHeight="251667456" behindDoc="0" locked="0" layoutInCell="1" allowOverlap="1" wp14:anchorId="27740F72" wp14:editId="2A8142C9">
                      <wp:simplePos x="0" y="0"/>
                      <wp:positionH relativeFrom="column">
                        <wp:posOffset>2319655</wp:posOffset>
                      </wp:positionH>
                      <wp:positionV relativeFrom="paragraph">
                        <wp:posOffset>125730</wp:posOffset>
                      </wp:positionV>
                      <wp:extent cx="533400" cy="0"/>
                      <wp:effectExtent l="0" t="76200" r="19050" b="114300"/>
                      <wp:wrapNone/>
                      <wp:docPr id="8" name="Łącznik prosty ze strzałką 8"/>
                      <wp:cNvGraphicFramePr/>
                      <a:graphic xmlns:a="http://schemas.openxmlformats.org/drawingml/2006/main">
                        <a:graphicData uri="http://schemas.microsoft.com/office/word/2010/wordprocessingShape">
                          <wps:wsp>
                            <wps:cNvCnPr/>
                            <wps:spPr>
                              <a:xfrm>
                                <a:off x="0" y="0"/>
                                <a:ext cx="53340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id="Łącznik prosty ze strzałką 8" o:spid="_x0000_s1026" type="#_x0000_t32" style="position:absolute;margin-left:182.65pt;margin-top:9.9pt;width:42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" strokecolor="#4a7ebb">
                      <v:stroke endarrow="open"/>
                    </v:shape>
                  </w:pict>
                </mc:Fallback>
              </mc:AlternateContent>
            </w:r>
            <w:r>
              <w:rPr>
                <w:noProof/>
                <w:lang w:eastAsia="pl-PL"/>
              </w:rPr>
              <w:t>Kapitał obcy krótkoterminowy</w:t>
            </w:r>
          </w:p>
        </w:tc>
        <w:tc>
          <w:tcPr>
            <w:tcW w:w="4606" w:type="dxa"/>
          </w:tcPr>
          <w:p w:rsidR="000F3AE1" w:rsidRDefault="000F3AE1" w:rsidP="00D65BC0">
            <w:pPr>
              <w:jc w:val="both"/>
            </w:pPr>
            <w:r>
              <w:t>Zasady rozliczeń z dostawcami, outsourcerem               i podwykonawcami (warunki kontraktów                     i wydłużenie terminów płatności); terminy zakupów i harmonogramy dostaw na podstawie MRP</w:t>
            </w:r>
          </w:p>
        </w:tc>
      </w:tr>
    </w:tbl>
    <w:p w:rsidR="000F3AE1" w:rsidRPr="000559A4" w:rsidRDefault="000F3AE1" w:rsidP="000F3AE1">
      <w:pPr>
        <w:spacing w:after="0" w:line="240" w:lineRule="auto"/>
        <w:jc w:val="both"/>
      </w:pPr>
    </w:p>
    <w:p w:rsidR="000F3AE1" w:rsidRPr="00CF5219" w:rsidRDefault="000F3AE1" w:rsidP="000F3AE1">
      <w:pPr>
        <w:spacing w:after="0" w:line="240" w:lineRule="auto"/>
        <w:jc w:val="both"/>
        <w:rPr>
          <w:sz w:val="20"/>
          <w:szCs w:val="20"/>
        </w:rPr>
      </w:pPr>
      <w:r w:rsidRPr="00CF5219">
        <w:rPr>
          <w:sz w:val="20"/>
          <w:szCs w:val="20"/>
        </w:rPr>
        <w:t>Źródło: Śliwczyński B., Controlling w zarządzaniu logistyką, Wyższa Szkoła Logistyki, Poznań 2007, s. 295.</w:t>
      </w:r>
    </w:p>
    <w:p w:rsidR="000F3AE1" w:rsidRDefault="000F3AE1" w:rsidP="000F3AE1">
      <w:pPr>
        <w:spacing w:after="0" w:line="240" w:lineRule="auto"/>
        <w:jc w:val="both"/>
      </w:pPr>
    </w:p>
    <w:p w:rsidR="000F3AE1" w:rsidRDefault="000F3AE1" w:rsidP="000F3AE1">
      <w:pPr>
        <w:spacing w:after="0" w:line="240" w:lineRule="auto"/>
        <w:jc w:val="both"/>
        <w:rPr>
          <w:b/>
        </w:rPr>
      </w:pPr>
      <w:r w:rsidRPr="00A15DE7">
        <w:rPr>
          <w:b/>
        </w:rPr>
        <w:t>Materiały</w:t>
      </w:r>
      <w:r>
        <w:t xml:space="preserve"> stanowią pierwszy etap w trzystopniowej skali klasyfikacji zapasów. Istotna ich cechą jest to iż stanowią niezbędny składnik w prowadzeniu procesu produkcyjnego. Braki materiałów mogą prowadzić do przestojów w tymże procesie a w związku z tym z generowaniem wysokich i niepotrzebnych kosztów.</w:t>
      </w:r>
    </w:p>
    <w:p w:rsidR="000F3AE1" w:rsidRDefault="000F3AE1" w:rsidP="000F3AE1">
      <w:pPr>
        <w:spacing w:after="0" w:line="240" w:lineRule="auto"/>
        <w:jc w:val="both"/>
        <w:rPr>
          <w:b/>
        </w:rPr>
      </w:pPr>
    </w:p>
    <w:p w:rsidR="000F3AE1" w:rsidRDefault="000F3AE1" w:rsidP="000F3AE1">
      <w:pPr>
        <w:spacing w:after="0" w:line="240" w:lineRule="auto"/>
        <w:jc w:val="both"/>
        <w:rPr>
          <w:b/>
        </w:rPr>
      </w:pPr>
      <w:r w:rsidRPr="00A15DE7">
        <w:rPr>
          <w:b/>
        </w:rPr>
        <w:t>Produkcja w toku</w:t>
      </w:r>
      <w:r>
        <w:t xml:space="preserve"> kategoria ta obejmuje niedokończone produkty lub usługi, które ulegną przekształceniu w trakcie cyklu operacyjnego w wyroby gotowe lub usługi.</w:t>
      </w:r>
    </w:p>
    <w:p w:rsidR="000F3AE1" w:rsidRDefault="000F3AE1" w:rsidP="000F3AE1">
      <w:pPr>
        <w:spacing w:after="0" w:line="240" w:lineRule="auto"/>
        <w:jc w:val="both"/>
        <w:rPr>
          <w:b/>
        </w:rPr>
      </w:pPr>
    </w:p>
    <w:p w:rsidR="000F3AE1" w:rsidRDefault="000F3AE1" w:rsidP="000F3AE1">
      <w:pPr>
        <w:spacing w:after="0" w:line="240" w:lineRule="auto"/>
        <w:jc w:val="both"/>
      </w:pPr>
      <w:r w:rsidRPr="000E3368">
        <w:rPr>
          <w:b/>
        </w:rPr>
        <w:t>Towary</w:t>
      </w:r>
      <w:r>
        <w:t xml:space="preserve"> są to wytworzone przez konkretną jednostkę i stanowiące jej własność wyroby gotowe lub </w:t>
      </w:r>
      <w:hyperlink r:id="rId9" w:tooltip="Usługa" w:history="1">
        <w:r w:rsidRPr="000E3368">
          <w:rPr>
            <w:rStyle w:val="Hipercze"/>
          </w:rPr>
          <w:t>usługi</w:t>
        </w:r>
      </w:hyperlink>
      <w:r>
        <w:t xml:space="preserve"> przeznaczone do dalszej odsprzedaży w stanie nieprzetworzonym, znajdujące się w magazynach lub punktach sprzedaży.</w:t>
      </w:r>
    </w:p>
    <w:p w:rsidR="000F3AE1" w:rsidRPr="00375979" w:rsidRDefault="000F3AE1" w:rsidP="000F3AE1">
      <w:pPr>
        <w:pStyle w:val="NormalnyWeb"/>
        <w:shd w:val="clear" w:color="auto" w:fill="FFFFFF"/>
        <w:spacing w:before="0" w:beforeAutospacing="0" w:after="0" w:afterAutospacing="0"/>
        <w:jc w:val="both"/>
        <w:rPr>
          <w:rFonts w:asciiTheme="minorHAnsi" w:hAnsiTheme="minorHAnsi"/>
          <w:sz w:val="22"/>
          <w:szCs w:val="22"/>
        </w:rPr>
      </w:pPr>
      <w:r w:rsidRPr="00375979">
        <w:rPr>
          <w:rFonts w:asciiTheme="minorHAnsi" w:hAnsiTheme="minorHAnsi"/>
          <w:sz w:val="22"/>
          <w:szCs w:val="22"/>
        </w:rPr>
        <w:t xml:space="preserve">Z punktu widzenia przedsiębiorstwa towarem są dobra materialne </w:t>
      </w:r>
      <w:r w:rsidRPr="00375979">
        <w:rPr>
          <w:rStyle w:val="Pogrubienie"/>
          <w:rFonts w:asciiTheme="minorHAnsi" w:hAnsiTheme="minorHAnsi"/>
          <w:sz w:val="22"/>
          <w:szCs w:val="22"/>
        </w:rPr>
        <w:t>zakupione i przeznaczone do sprzedaży bez ich</w:t>
      </w:r>
      <w:r>
        <w:rPr>
          <w:rStyle w:val="Pogrubienie"/>
          <w:sz w:val="18"/>
          <w:szCs w:val="18"/>
        </w:rPr>
        <w:t xml:space="preserve"> </w:t>
      </w:r>
      <w:r w:rsidRPr="00375979">
        <w:rPr>
          <w:rStyle w:val="Pogrubienie"/>
          <w:rFonts w:asciiTheme="minorHAnsi" w:hAnsiTheme="minorHAnsi"/>
          <w:sz w:val="22"/>
          <w:szCs w:val="22"/>
        </w:rPr>
        <w:t>przetwarzania</w:t>
      </w:r>
      <w:r w:rsidRPr="00375979">
        <w:rPr>
          <w:rFonts w:asciiTheme="minorHAnsi" w:hAnsiTheme="minorHAnsi"/>
          <w:sz w:val="22"/>
          <w:szCs w:val="22"/>
        </w:rPr>
        <w:t>.</w:t>
      </w:r>
    </w:p>
    <w:p w:rsidR="000F3AE1" w:rsidRPr="00375979" w:rsidRDefault="000F3AE1" w:rsidP="000F3AE1">
      <w:pPr>
        <w:pStyle w:val="NormalnyWeb"/>
        <w:shd w:val="clear" w:color="auto" w:fill="FFFFFF"/>
        <w:spacing w:before="0" w:beforeAutospacing="0" w:after="0" w:afterAutospacing="0"/>
        <w:jc w:val="both"/>
        <w:rPr>
          <w:rFonts w:asciiTheme="minorHAnsi" w:hAnsiTheme="minorHAnsi"/>
          <w:sz w:val="22"/>
          <w:szCs w:val="22"/>
        </w:rPr>
      </w:pPr>
      <w:r w:rsidRPr="00375979">
        <w:rPr>
          <w:rFonts w:asciiTheme="minorHAnsi" w:hAnsiTheme="minorHAnsi"/>
          <w:sz w:val="22"/>
          <w:szCs w:val="22"/>
        </w:rPr>
        <w:t>Jeśli przedsiębiorstwo zakupuje dobro z zamiarem jego przetworzenia, dobro to będzie określane mianem materiałów, a po przetworzeniu będzie określane jako produkt (wyrób gotowy).</w:t>
      </w:r>
    </w:p>
    <w:p w:rsidR="000F3AE1" w:rsidRPr="00375979" w:rsidRDefault="000F3AE1" w:rsidP="000F3AE1">
      <w:pPr>
        <w:pStyle w:val="NormalnyWeb"/>
        <w:shd w:val="clear" w:color="auto" w:fill="FFFFFF"/>
        <w:spacing w:before="0" w:beforeAutospacing="0" w:after="0" w:afterAutospacing="0"/>
        <w:jc w:val="both"/>
        <w:rPr>
          <w:rFonts w:asciiTheme="minorHAnsi" w:hAnsiTheme="minorHAnsi"/>
          <w:sz w:val="22"/>
          <w:szCs w:val="22"/>
        </w:rPr>
      </w:pPr>
      <w:r w:rsidRPr="00375979">
        <w:rPr>
          <w:rFonts w:asciiTheme="minorHAnsi" w:hAnsiTheme="minorHAnsi"/>
          <w:sz w:val="22"/>
          <w:szCs w:val="22"/>
        </w:rPr>
        <w:t>To samo dobro może być więc przez jedno przedsiębiorstwo określane mianem towaru a przez inne nie. Takim przykładem mogą być owoce, które dla hurtownika będą towarem, gdyż skupuje je on i odsprzedaje bez ich przetwarzania. Dla wytwórni marmolady będą one natomiast materiałem, z którego następnie powstanie wyrób gotowy (produkt) w postaci dżemu.</w:t>
      </w:r>
    </w:p>
    <w:p w:rsidR="000F3AE1" w:rsidRDefault="000F3AE1" w:rsidP="000F3AE1">
      <w:pPr>
        <w:spacing w:after="0" w:line="240" w:lineRule="auto"/>
        <w:jc w:val="both"/>
      </w:pPr>
    </w:p>
    <w:p w:rsidR="000F3AE1" w:rsidRDefault="000F3AE1" w:rsidP="000F3AE1">
      <w:pPr>
        <w:spacing w:after="0" w:line="240" w:lineRule="auto"/>
        <w:jc w:val="both"/>
      </w:pPr>
      <w:r w:rsidRPr="004C4238">
        <w:rPr>
          <w:b/>
        </w:rPr>
        <w:t>Wyroby gotowe</w:t>
      </w:r>
      <w:r>
        <w:t xml:space="preserve"> stanowią one końcowy etap w trójstopniowym procesie produkcji. Zalicza się je do najłatwiej zbywalnej, czyli najbardziej płynnej kategorii zapasów. W procesie operacyjnym w momencie sprzedaży ulegają przekształceniu w </w:t>
      </w:r>
      <w:hyperlink r:id="rId10" w:tooltip="Rodzaje należności" w:history="1">
        <w:r w:rsidRPr="004C4238">
          <w:rPr>
            <w:rStyle w:val="Hipercze"/>
          </w:rPr>
          <w:t>należności</w:t>
        </w:r>
      </w:hyperlink>
      <w:r w:rsidRPr="004C4238">
        <w:t xml:space="preserve"> </w:t>
      </w:r>
      <w:r>
        <w:t>z tytułu dostaw i usług.</w:t>
      </w:r>
      <w:r w:rsidRPr="004C4238">
        <w:t xml:space="preserve"> </w:t>
      </w:r>
      <w:r>
        <w:t xml:space="preserve">Istotne jest, aby obrót nimi był zharmonizowany z istniejącym w danym okresie </w:t>
      </w:r>
      <w:hyperlink r:id="rId11" w:tooltip="Popyt" w:history="1">
        <w:r w:rsidRPr="004C4238">
          <w:rPr>
            <w:rStyle w:val="Hipercze"/>
          </w:rPr>
          <w:t>popytem</w:t>
        </w:r>
      </w:hyperlink>
      <w:r>
        <w:t xml:space="preserve"> rynkowym. Zbyt długie pozostawanie wyrobów gotowych na składzie jest niepokojącym sygnałem pogorszenia się ich zbywalności. Może przyczynić się to do zmniejszenia ich wartości użytkowej lub handlowej, pogorszeniem jakości lub też być przyczyną słabości rynku. Zbycie takich wyrobów jest bardzo trudne i wymaga od działu sprzedaży zwiększonego wysiłku lub też w ostateczności obniżki ceny wyrobu.</w:t>
      </w:r>
    </w:p>
    <w:p w:rsidR="000F3AE1" w:rsidRDefault="000F3AE1" w:rsidP="000F3AE1">
      <w:pPr>
        <w:spacing w:after="0" w:line="240" w:lineRule="auto"/>
        <w:jc w:val="both"/>
      </w:pPr>
    </w:p>
    <w:p w:rsidR="000F3AE1" w:rsidRDefault="000F3AE1" w:rsidP="000F3AE1">
      <w:pPr>
        <w:spacing w:after="0" w:line="240" w:lineRule="auto"/>
        <w:jc w:val="both"/>
      </w:pPr>
      <w:r>
        <w:t>Zapasy to aktywa rzeczowe przeznaczone do zbycia lub zużycia w ciągu 12 m-cy od dnia bilansowego lub w ciągu normalnego cyklu operacyjnego właściwego dla danego przedsiębiorstwa, jeżeli trwa on dłużej niż 12 m-cy. Cecha charakterystyczna jest to, ze pozostają w ciągłym ruchu, przechodząc przez kolejne fazy działalności i zmieniają swoją formę.</w:t>
      </w:r>
    </w:p>
    <w:p w:rsidR="000F3AE1" w:rsidRDefault="000F3AE1" w:rsidP="000F3AE1">
      <w:pPr>
        <w:spacing w:after="0" w:line="240" w:lineRule="auto"/>
        <w:jc w:val="both"/>
      </w:pPr>
    </w:p>
    <w:p w:rsidR="000F3AE1" w:rsidRDefault="000F3AE1" w:rsidP="000F3AE1">
      <w:pPr>
        <w:spacing w:after="0" w:line="240" w:lineRule="auto"/>
        <w:jc w:val="both"/>
      </w:pPr>
      <w:r>
        <w:t xml:space="preserve">Realizacja działań logistycznych (zaopatrzenia, logistyki produkcji, magazynowania czy transportu) angażujących zasoby (ludzi, materiały, urządzenia) powoduje koszty zużycia zasobów, ale jednocześnie tworzy wartość produktu dla klienta (wynikającą z jakości zastosowanych materiałów, dostępności produktu, dużego wyboru, dostarczenia produktu w wymaganym miejscu i czasie). </w:t>
      </w:r>
    </w:p>
    <w:p w:rsidR="000F3AE1" w:rsidRDefault="000F3AE1" w:rsidP="000F3AE1">
      <w:pPr>
        <w:spacing w:after="0" w:line="240" w:lineRule="auto"/>
        <w:jc w:val="both"/>
      </w:pPr>
    </w:p>
    <w:p w:rsidR="000F3AE1" w:rsidRDefault="000F3AE1" w:rsidP="000F3AE1">
      <w:pPr>
        <w:spacing w:after="0" w:line="240" w:lineRule="auto"/>
        <w:jc w:val="both"/>
      </w:pPr>
      <w:r>
        <w:t>Działania logistyki nie wpływają bezpośrednio na przychody ze sprzedaży (poza aspektem dostępności – tylko produkt dostępny może być sprzedany), natomiast wpływają na podwyższenie wielkości sprzedaży poprzez poprawę poziomu obsługi klienta.</w:t>
      </w:r>
    </w:p>
    <w:p w:rsidR="000F3AE1" w:rsidRDefault="000F3AE1" w:rsidP="000F3AE1">
      <w:pPr>
        <w:spacing w:after="0" w:line="240" w:lineRule="auto"/>
        <w:jc w:val="both"/>
      </w:pPr>
      <w:r>
        <w:t xml:space="preserve">Zadaniem controllingu logistyki jest m.in. zbadanie efektywności działań logistycznych; </w:t>
      </w:r>
    </w:p>
    <w:p w:rsidR="000F3AE1" w:rsidRDefault="000F3AE1" w:rsidP="000F3AE1">
      <w:pPr>
        <w:pStyle w:val="Akapitzlist"/>
        <w:numPr>
          <w:ilvl w:val="0"/>
          <w:numId w:val="2"/>
        </w:numPr>
        <w:spacing w:after="0" w:line="240" w:lineRule="auto"/>
        <w:jc w:val="both"/>
      </w:pPr>
      <w:r>
        <w:t>jaki jest efekt poniesionych nakładów w przekroju produktów, klientów czy łańcuchów dostaw produktów na rynek,</w:t>
      </w:r>
    </w:p>
    <w:p w:rsidR="000F3AE1" w:rsidRDefault="000F3AE1" w:rsidP="000F3AE1">
      <w:pPr>
        <w:pStyle w:val="Akapitzlist"/>
        <w:numPr>
          <w:ilvl w:val="0"/>
          <w:numId w:val="2"/>
        </w:numPr>
        <w:spacing w:after="0" w:line="240" w:lineRule="auto"/>
        <w:jc w:val="both"/>
      </w:pPr>
      <w:r>
        <w:t>na ile ponoszone koszty logistyki wpływają na zysk przedsiębiorstwa oraz na zyski jednostkowe poszczególnych produktów.</w:t>
      </w:r>
    </w:p>
    <w:p w:rsidR="000F3AE1" w:rsidRDefault="000F3AE1" w:rsidP="000F3AE1">
      <w:pPr>
        <w:spacing w:after="0" w:line="240" w:lineRule="auto"/>
        <w:jc w:val="both"/>
      </w:pPr>
    </w:p>
    <w:p w:rsidR="000F3AE1" w:rsidRDefault="000F3AE1" w:rsidP="000F3AE1">
      <w:pPr>
        <w:spacing w:after="0" w:line="240" w:lineRule="auto"/>
        <w:jc w:val="both"/>
      </w:pPr>
      <w:r>
        <w:t>Wpływ zarządzania logistyką na pozycje rzis.</w:t>
      </w:r>
    </w:p>
    <w:tbl>
      <w:tblPr>
        <w:tblStyle w:val="Tabela-Siatka"/>
        <w:tblW w:w="0" w:type="auto"/>
        <w:tblLook w:val="04A0" w:firstRow="1" w:lastRow="0" w:firstColumn="1" w:lastColumn="0" w:noHBand="0" w:noVBand="1"/>
      </w:tblPr>
      <w:tblGrid>
        <w:gridCol w:w="4606"/>
        <w:gridCol w:w="4606"/>
      </w:tblGrid>
      <w:tr w:rsidR="000F3AE1" w:rsidTr="00D65BC0">
        <w:tc>
          <w:tcPr>
            <w:tcW w:w="4606" w:type="dxa"/>
          </w:tcPr>
          <w:p w:rsidR="000F3AE1" w:rsidRPr="007609B4" w:rsidRDefault="000F3AE1" w:rsidP="00D65BC0">
            <w:pPr>
              <w:jc w:val="center"/>
              <w:rPr>
                <w:b/>
              </w:rPr>
            </w:pPr>
            <w:r w:rsidRPr="007609B4">
              <w:rPr>
                <w:b/>
              </w:rPr>
              <w:t>Pozycja rachunku wyników</w:t>
            </w:r>
          </w:p>
        </w:tc>
        <w:tc>
          <w:tcPr>
            <w:tcW w:w="4606" w:type="dxa"/>
          </w:tcPr>
          <w:p w:rsidR="000F3AE1" w:rsidRPr="007609B4" w:rsidRDefault="000F3AE1" w:rsidP="00D65BC0">
            <w:pPr>
              <w:jc w:val="center"/>
              <w:rPr>
                <w:b/>
              </w:rPr>
            </w:pPr>
            <w:r w:rsidRPr="007609B4">
              <w:rPr>
                <w:b/>
              </w:rPr>
              <w:t>Działania logistyki</w:t>
            </w:r>
          </w:p>
        </w:tc>
      </w:tr>
      <w:tr w:rsidR="000F3AE1" w:rsidTr="00D65BC0">
        <w:tc>
          <w:tcPr>
            <w:tcW w:w="4606" w:type="dxa"/>
          </w:tcPr>
          <w:p w:rsidR="000F3AE1" w:rsidRDefault="000F3AE1" w:rsidP="00D65BC0">
            <w:pPr>
              <w:jc w:val="both"/>
            </w:pPr>
            <w:r>
              <w:t>Przychód ze sprzedaży</w:t>
            </w:r>
          </w:p>
        </w:tc>
        <w:tc>
          <w:tcPr>
            <w:tcW w:w="4606" w:type="dxa"/>
          </w:tcPr>
          <w:p w:rsidR="000F3AE1" w:rsidRDefault="000F3AE1" w:rsidP="00D65BC0">
            <w:pPr>
              <w:jc w:val="both"/>
            </w:pPr>
            <w:r>
              <w:t>Zapewnienie dostępności produktu, niezawodność dostaw i zapewnienie elastyczności systemu i procesów logistycznych (dostosowanie do potrzeb rynku); stopień satysfakcji klienta i poziom obsługi</w:t>
            </w:r>
          </w:p>
        </w:tc>
      </w:tr>
      <w:tr w:rsidR="000F3AE1" w:rsidTr="00D65BC0">
        <w:tc>
          <w:tcPr>
            <w:tcW w:w="4606" w:type="dxa"/>
          </w:tcPr>
          <w:p w:rsidR="000F3AE1" w:rsidRDefault="000F3AE1" w:rsidP="00D65BC0">
            <w:pPr>
              <w:jc w:val="both"/>
            </w:pPr>
            <w:r>
              <w:t>Koszt wytworzenia produktu (koszty operacyjne)</w:t>
            </w:r>
          </w:p>
        </w:tc>
        <w:tc>
          <w:tcPr>
            <w:tcW w:w="4606" w:type="dxa"/>
          </w:tcPr>
          <w:p w:rsidR="000F3AE1" w:rsidRDefault="000F3AE1" w:rsidP="00D65BC0">
            <w:pPr>
              <w:jc w:val="both"/>
            </w:pPr>
            <w:r w:rsidRPr="004624BD">
              <w:rPr>
                <w:i/>
              </w:rPr>
              <w:t>Koszty bezpośrednie</w:t>
            </w:r>
            <w:r>
              <w:t xml:space="preserve"> – materiały, robocizna bezpośrednia wynikająca z realizacji zadań logistycznych, odpisy amortyzacyjne </w:t>
            </w:r>
            <w:r>
              <w:lastRenderedPageBreak/>
              <w:t>infrastruktury logistycznej, usługi obce, delegacje, szkolenia</w:t>
            </w:r>
          </w:p>
          <w:p w:rsidR="000F3AE1" w:rsidRDefault="000F3AE1" w:rsidP="00D65BC0">
            <w:pPr>
              <w:jc w:val="both"/>
            </w:pPr>
            <w:r w:rsidRPr="004624BD">
              <w:rPr>
                <w:i/>
              </w:rPr>
              <w:t>Koszty pośrednie</w:t>
            </w:r>
            <w:r>
              <w:t xml:space="preserve"> – planowanie, kontrolowanie, organizacja i koordynacja działań logistycznych</w:t>
            </w:r>
          </w:p>
        </w:tc>
      </w:tr>
      <w:tr w:rsidR="000F3AE1" w:rsidTr="00D65BC0">
        <w:tc>
          <w:tcPr>
            <w:tcW w:w="4606" w:type="dxa"/>
          </w:tcPr>
          <w:p w:rsidR="000F3AE1" w:rsidRDefault="000F3AE1" w:rsidP="00D65BC0">
            <w:pPr>
              <w:jc w:val="both"/>
            </w:pPr>
            <w:r>
              <w:lastRenderedPageBreak/>
              <w:t>Straty operacyjne logistyki</w:t>
            </w:r>
          </w:p>
        </w:tc>
        <w:tc>
          <w:tcPr>
            <w:tcW w:w="4606" w:type="dxa"/>
          </w:tcPr>
          <w:p w:rsidR="000F3AE1" w:rsidRDefault="000F3AE1" w:rsidP="00D65BC0">
            <w:pPr>
              <w:jc w:val="both"/>
            </w:pPr>
            <w:r>
              <w:t>Straty z tytułu rozlania paliwa, uszkodzenia towaru, utrzymania ponadnormatywnych zapasów</w:t>
            </w:r>
          </w:p>
        </w:tc>
      </w:tr>
      <w:tr w:rsidR="000F3AE1" w:rsidTr="00D65BC0">
        <w:tc>
          <w:tcPr>
            <w:tcW w:w="4606" w:type="dxa"/>
          </w:tcPr>
          <w:p w:rsidR="000F3AE1" w:rsidRDefault="000F3AE1" w:rsidP="00D65BC0">
            <w:pPr>
              <w:jc w:val="both"/>
            </w:pPr>
            <w:r>
              <w:t>Koszty administracji i sprzedaży</w:t>
            </w:r>
          </w:p>
        </w:tc>
        <w:tc>
          <w:tcPr>
            <w:tcW w:w="4606" w:type="dxa"/>
          </w:tcPr>
          <w:p w:rsidR="000F3AE1" w:rsidRDefault="000F3AE1" w:rsidP="00D65BC0">
            <w:pPr>
              <w:jc w:val="both"/>
            </w:pPr>
            <w:r>
              <w:t>Koszty ponoszone na administrację zasobów i procesów logistycznych (ewidencję, raportowanie)</w:t>
            </w:r>
          </w:p>
        </w:tc>
      </w:tr>
      <w:tr w:rsidR="000F3AE1" w:rsidTr="00D65BC0">
        <w:tc>
          <w:tcPr>
            <w:tcW w:w="4606" w:type="dxa"/>
          </w:tcPr>
          <w:p w:rsidR="000F3AE1" w:rsidRDefault="000F3AE1" w:rsidP="00D65BC0">
            <w:pPr>
              <w:jc w:val="both"/>
            </w:pPr>
            <w:r>
              <w:t>Koszty finansowe logistyki</w:t>
            </w:r>
          </w:p>
        </w:tc>
        <w:tc>
          <w:tcPr>
            <w:tcW w:w="4606" w:type="dxa"/>
          </w:tcPr>
          <w:p w:rsidR="000F3AE1" w:rsidRDefault="000F3AE1" w:rsidP="00D65BC0">
            <w:pPr>
              <w:jc w:val="both"/>
            </w:pPr>
            <w:r>
              <w:t>Koszty kapitału zamrożonego w zapasie, koszty kredytów i pożyczek na działalność logistyczną, koszty kapitału zamrożonego w cyklu realizacji zamówienia</w:t>
            </w:r>
          </w:p>
        </w:tc>
      </w:tr>
      <w:tr w:rsidR="000F3AE1" w:rsidTr="00D65BC0">
        <w:tc>
          <w:tcPr>
            <w:tcW w:w="4606" w:type="dxa"/>
          </w:tcPr>
          <w:p w:rsidR="000F3AE1" w:rsidRDefault="000F3AE1" w:rsidP="00D65BC0">
            <w:pPr>
              <w:jc w:val="both"/>
            </w:pPr>
            <w:r>
              <w:t>Straty finansowe logistyki</w:t>
            </w:r>
          </w:p>
        </w:tc>
        <w:tc>
          <w:tcPr>
            <w:tcW w:w="4606" w:type="dxa"/>
          </w:tcPr>
          <w:p w:rsidR="000F3AE1" w:rsidRDefault="000F3AE1" w:rsidP="00D65BC0">
            <w:pPr>
              <w:jc w:val="both"/>
            </w:pPr>
            <w:r>
              <w:t>Straty z tytułu kar za nieterminową dostawę, koszty kapitałów w ponadnormatywnych zapasach, starzenie i deprecjacja zapasów (zmniejszenie wartości)</w:t>
            </w:r>
          </w:p>
        </w:tc>
      </w:tr>
    </w:tbl>
    <w:p w:rsidR="000F3AE1" w:rsidRDefault="000F3AE1" w:rsidP="000F3AE1">
      <w:pPr>
        <w:spacing w:after="0" w:line="240" w:lineRule="auto"/>
        <w:jc w:val="both"/>
      </w:pPr>
    </w:p>
    <w:p w:rsidR="000F3AE1" w:rsidRDefault="000F3AE1" w:rsidP="000F3AE1">
      <w:pPr>
        <w:spacing w:after="0" w:line="240" w:lineRule="auto"/>
        <w:jc w:val="both"/>
        <w:rPr>
          <w:sz w:val="20"/>
          <w:szCs w:val="20"/>
        </w:rPr>
      </w:pPr>
      <w:r w:rsidRPr="00CF5219">
        <w:rPr>
          <w:sz w:val="20"/>
          <w:szCs w:val="20"/>
        </w:rPr>
        <w:t xml:space="preserve">Źródło: Śliwczyński B., Controlling w zarządzaniu logistyką, Wyższa Szkoła Logistyki, Poznań 2007, s. </w:t>
      </w:r>
      <w:r>
        <w:rPr>
          <w:sz w:val="20"/>
          <w:szCs w:val="20"/>
        </w:rPr>
        <w:t>296</w:t>
      </w:r>
      <w:r w:rsidRPr="00CF5219">
        <w:rPr>
          <w:sz w:val="20"/>
          <w:szCs w:val="20"/>
        </w:rPr>
        <w:t>.</w:t>
      </w:r>
    </w:p>
    <w:p w:rsidR="000F3AE1" w:rsidRDefault="000F3AE1" w:rsidP="000F3AE1">
      <w:pPr>
        <w:spacing w:after="0" w:line="240" w:lineRule="auto"/>
        <w:jc w:val="both"/>
        <w:rPr>
          <w:sz w:val="20"/>
          <w:szCs w:val="20"/>
        </w:rPr>
      </w:pPr>
    </w:p>
    <w:p w:rsidR="000F3AE1" w:rsidRDefault="000F3AE1" w:rsidP="000F3AE1">
      <w:pPr>
        <w:spacing w:after="0" w:line="240" w:lineRule="auto"/>
        <w:jc w:val="both"/>
      </w:pPr>
      <w:r>
        <w:t>Obszary wpływu zarządzania logistyką na strukturę majątkowo-kapitałową i na wynik finansowy są powiązane ze wskaźnikiem stopnia zwrotu (rentowności) z zainwestowanego kapitału (ROI). Wskaźnik ten jest często stosowanym miernikiem oceny centrum inwestycji w przedsiębiorstwie;</w:t>
      </w:r>
    </w:p>
    <w:p w:rsidR="000F3AE1" w:rsidRDefault="000F3AE1" w:rsidP="000F3AE1">
      <w:pPr>
        <w:spacing w:after="0" w:line="240" w:lineRule="auto"/>
        <w:jc w:val="both"/>
      </w:pPr>
    </w:p>
    <w:p w:rsidR="000F3AE1" w:rsidRPr="00762C12" w:rsidRDefault="000F3AE1" w:rsidP="000F3AE1">
      <w:pPr>
        <w:spacing w:after="0" w:line="240" w:lineRule="auto"/>
        <w:jc w:val="both"/>
        <w:rPr>
          <w:rFonts w:eastAsiaTheme="minorEastAsia"/>
        </w:rPr>
      </w:pPr>
      <m:oMathPara>
        <m:oMath>
          <m:r>
            <w:rPr>
              <w:rFonts w:ascii="Cambria Math" w:hAnsi="Cambria Math"/>
            </w:rPr>
            <m:t xml:space="preserve">ROI = </m:t>
          </m:r>
          <m:f>
            <m:fPr>
              <m:ctrlPr>
                <w:rPr>
                  <w:rFonts w:ascii="Cambria Math" w:hAnsi="Cambria Math"/>
                  <w:i/>
                </w:rPr>
              </m:ctrlPr>
            </m:fPr>
            <m:num>
              <m:r>
                <w:rPr>
                  <w:rFonts w:ascii="Cambria Math" w:hAnsi="Cambria Math"/>
                </w:rPr>
                <m:t>wynik operacyjny</m:t>
              </m:r>
            </m:num>
            <m:den>
              <m:r>
                <w:rPr>
                  <w:rFonts w:ascii="Cambria Math" w:hAnsi="Cambria Math"/>
                </w:rPr>
                <m:t>zaangażowany kapitał</m:t>
              </m:r>
            </m:den>
          </m:f>
        </m:oMath>
      </m:oMathPara>
    </w:p>
    <w:p w:rsidR="000F3AE1" w:rsidRDefault="000F3AE1" w:rsidP="000F3AE1">
      <w:pPr>
        <w:spacing w:after="0" w:line="240" w:lineRule="auto"/>
        <w:jc w:val="both"/>
        <w:rPr>
          <w:rFonts w:eastAsiaTheme="minorEastAsia"/>
        </w:rPr>
      </w:pPr>
    </w:p>
    <w:p w:rsidR="000F3AE1" w:rsidRDefault="000F3AE1" w:rsidP="000F3AE1">
      <w:pPr>
        <w:spacing w:after="0" w:line="240" w:lineRule="auto"/>
        <w:jc w:val="both"/>
        <w:rPr>
          <w:rFonts w:eastAsiaTheme="minorEastAsia"/>
        </w:rPr>
      </w:pPr>
      <w:r>
        <w:rPr>
          <w:rFonts w:eastAsiaTheme="minorEastAsia"/>
        </w:rPr>
        <w:t xml:space="preserve">Wskaźnik ten wskazuje relację wielkości zysku do zaangażowanego kapitału, pokazuje efektywność wykorzystania kapitału oraz pośrednio efektywność zarządzania aktywami wypracowującymi zysk. </w:t>
      </w:r>
      <w:r w:rsidR="00952986">
        <w:rPr>
          <w:rFonts w:eastAsiaTheme="minorEastAsia"/>
        </w:rPr>
        <w:t xml:space="preserve">           </w:t>
      </w:r>
      <w:r>
        <w:rPr>
          <w:rFonts w:eastAsiaTheme="minorEastAsia"/>
        </w:rPr>
        <w:t>W odniesieniu do zarządzania logistyką, wskaźnik ten określa poziom rentowności kapitału zaangażowanego w działalność logistyczną;</w:t>
      </w:r>
    </w:p>
    <w:p w:rsidR="000F3AE1" w:rsidRPr="00ED22E9" w:rsidRDefault="000F3AE1" w:rsidP="000F3AE1">
      <w:pPr>
        <w:spacing w:after="0" w:line="240" w:lineRule="auto"/>
        <w:jc w:val="both"/>
        <w:rPr>
          <w:rFonts w:eastAsiaTheme="minorEastAsia"/>
        </w:rPr>
      </w:pPr>
      <w:r>
        <w:rPr>
          <w:noProof/>
          <w:lang w:eastAsia="pl-PL"/>
        </w:rPr>
        <w:drawing>
          <wp:inline distT="0" distB="0" distL="0" distR="0" wp14:anchorId="7A40E519" wp14:editId="26A1E6FF">
            <wp:extent cx="5760720" cy="2842388"/>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60720" cy="2842388"/>
                    </a:xfrm>
                    <a:prstGeom prst="rect">
                      <a:avLst/>
                    </a:prstGeom>
                  </pic:spPr>
                </pic:pic>
              </a:graphicData>
            </a:graphic>
          </wp:inline>
        </w:drawing>
      </w:r>
      <w:r w:rsidRPr="00ED22E9">
        <w:rPr>
          <w:rFonts w:eastAsiaTheme="minorEastAsia"/>
        </w:rPr>
        <w:t>Rys. Wpływ zarządzania logistyką na rentowność zaangażowanego kapitału</w:t>
      </w:r>
    </w:p>
    <w:p w:rsidR="000F3AE1" w:rsidRPr="00762C12" w:rsidRDefault="000F3AE1" w:rsidP="000F3AE1">
      <w:pPr>
        <w:spacing w:after="0" w:line="240" w:lineRule="auto"/>
        <w:jc w:val="both"/>
        <w:rPr>
          <w:rFonts w:eastAsiaTheme="minorEastAsia"/>
          <w:color w:val="FF0000"/>
        </w:rPr>
      </w:pPr>
      <w:r>
        <w:rPr>
          <w:rFonts w:eastAsiaTheme="minorEastAsia"/>
          <w:color w:val="FF0000"/>
        </w:rPr>
        <w:t xml:space="preserve"> </w:t>
      </w:r>
      <w:r w:rsidRPr="00762C12">
        <w:rPr>
          <w:rFonts w:eastAsiaTheme="minorEastAsia"/>
          <w:color w:val="FF0000"/>
        </w:rPr>
        <w:t xml:space="preserve"> </w:t>
      </w:r>
    </w:p>
    <w:p w:rsidR="000F3AE1" w:rsidRDefault="00952986" w:rsidP="000F3AE1">
      <w:pPr>
        <w:spacing w:after="0" w:line="240" w:lineRule="auto"/>
        <w:jc w:val="both"/>
        <w:rPr>
          <w:rFonts w:eastAsiaTheme="minorEastAsia"/>
        </w:rPr>
      </w:pPr>
      <w:r>
        <w:rPr>
          <w:rFonts w:eastAsiaTheme="minorEastAsia"/>
        </w:rPr>
        <w:lastRenderedPageBreak/>
        <w:t>W mianowniku</w:t>
      </w:r>
      <w:r w:rsidR="000F3AE1">
        <w:rPr>
          <w:rFonts w:eastAsiaTheme="minorEastAsia"/>
        </w:rPr>
        <w:t xml:space="preserve"> jest wykorzystywana wartość aktywów operacyjnych lub tylko ta część kapitału zainwestowanego w działalność logistyczną, z której wypracowany został zysk, zatem wskaźnik pokazuje, jaki poziom stopy zwrotu otrzymano z właściwej działalności gospodarczej.</w:t>
      </w:r>
    </w:p>
    <w:p w:rsidR="000F3AE1" w:rsidRPr="00490514" w:rsidRDefault="000F3AE1" w:rsidP="000F3AE1">
      <w:pPr>
        <w:pStyle w:val="Default"/>
        <w:jc w:val="both"/>
        <w:rPr>
          <w:rFonts w:asciiTheme="minorHAnsi" w:hAnsiTheme="minorHAnsi"/>
          <w:sz w:val="22"/>
          <w:szCs w:val="22"/>
        </w:rPr>
      </w:pPr>
    </w:p>
    <w:p w:rsidR="00952986" w:rsidRDefault="00952986" w:rsidP="00C8173D">
      <w:pPr>
        <w:spacing w:after="0" w:line="240" w:lineRule="auto"/>
        <w:jc w:val="both"/>
      </w:pPr>
      <w:r>
        <w:t xml:space="preserve">Informacje z rachunku wyników o wielkości sprzedaży, kosztach i wyniku działalności przedsiębiorstwa umożliwiają ocenę rentowności sprzedaży, natomiast informacje z bilansu umożliwiają analizę struktury aktywów i w odniesieniu do przychodów ze sprzedaży – ich rotacji, która pozwoliła osiągnąć obliczony wynik. </w:t>
      </w:r>
    </w:p>
    <w:p w:rsidR="00952986" w:rsidRDefault="00952986" w:rsidP="00C8173D">
      <w:pPr>
        <w:spacing w:after="0" w:line="240" w:lineRule="auto"/>
        <w:jc w:val="both"/>
      </w:pPr>
    </w:p>
    <w:p w:rsidR="00952986" w:rsidRDefault="00952986" w:rsidP="00952986">
      <w:pPr>
        <w:spacing w:after="0" w:line="240" w:lineRule="auto"/>
        <w:jc w:val="both"/>
        <w:rPr>
          <w:rFonts w:eastAsiaTheme="minorEastAsia"/>
        </w:rPr>
      </w:pPr>
      <w:r>
        <w:rPr>
          <w:rFonts w:eastAsiaTheme="minorEastAsia"/>
        </w:rPr>
        <w:t>Stopień zwrotu z kapitału można otrzymać także na podstawie analizy bilansu i rachunku zysków i strat;</w:t>
      </w:r>
    </w:p>
    <w:p w:rsidR="00952986" w:rsidRPr="007609B4" w:rsidRDefault="00952986" w:rsidP="00952986">
      <w:pPr>
        <w:spacing w:after="0" w:line="240" w:lineRule="auto"/>
        <w:jc w:val="both"/>
      </w:pPr>
      <m:oMathPara>
        <m:oMath>
          <m:r>
            <w:rPr>
              <w:rFonts w:ascii="Cambria Math" w:hAnsi="Cambria Math"/>
            </w:rPr>
            <m:t xml:space="preserve">ROI = </m:t>
          </m:r>
          <m:f>
            <m:fPr>
              <m:ctrlPr>
                <w:rPr>
                  <w:rFonts w:ascii="Cambria Math" w:hAnsi="Cambria Math"/>
                  <w:i/>
                </w:rPr>
              </m:ctrlPr>
            </m:fPr>
            <m:num>
              <m:r>
                <w:rPr>
                  <w:rFonts w:ascii="Cambria Math" w:hAnsi="Cambria Math"/>
                </w:rPr>
                <m:t>wynik operacyjny</m:t>
              </m:r>
            </m:num>
            <m:den>
              <m:r>
                <w:rPr>
                  <w:rFonts w:ascii="Cambria Math" w:hAnsi="Cambria Math"/>
                </w:rPr>
                <m:t xml:space="preserve">przychody ze sprzedaży </m:t>
              </m:r>
            </m:den>
          </m:f>
          <m:r>
            <w:rPr>
              <w:rFonts w:ascii="Cambria Math" w:hAnsi="Cambria Math"/>
            </w:rPr>
            <m:t xml:space="preserve"> × </m:t>
          </m:r>
          <m:f>
            <m:fPr>
              <m:ctrlPr>
                <w:rPr>
                  <w:rFonts w:ascii="Cambria Math" w:hAnsi="Cambria Math"/>
                  <w:i/>
                </w:rPr>
              </m:ctrlPr>
            </m:fPr>
            <m:num>
              <m:r>
                <w:rPr>
                  <w:rFonts w:ascii="Cambria Math" w:hAnsi="Cambria Math"/>
                </w:rPr>
                <m:t>przychody ze sprzedaży</m:t>
              </m:r>
            </m:num>
            <m:den>
              <m:r>
                <w:rPr>
                  <w:rFonts w:ascii="Cambria Math" w:hAnsi="Cambria Math"/>
                </w:rPr>
                <m:t>wartość aktywów operacyjnych</m:t>
              </m:r>
            </m:den>
          </m:f>
        </m:oMath>
      </m:oMathPara>
    </w:p>
    <w:p w:rsidR="00952986" w:rsidRPr="00B828A5" w:rsidRDefault="00952986" w:rsidP="00952986">
      <w:pPr>
        <w:spacing w:after="0" w:line="240" w:lineRule="auto"/>
        <w:jc w:val="both"/>
      </w:pPr>
    </w:p>
    <w:p w:rsidR="001378DB" w:rsidRDefault="001378DB" w:rsidP="00C8173D">
      <w:pPr>
        <w:spacing w:after="0" w:line="240" w:lineRule="auto"/>
        <w:jc w:val="both"/>
      </w:pPr>
      <w:r>
        <w:t>Pierwszy czynnik zależności przedstawia rentowność sprzedaży (relację zysku do przychodów ze sprzedaży) – pośrednio wskazując na poziom kosztów i poziom cen sprzedaży, a drugi rotację aktywów operacyjnych – kapitał zainwestowany w określoną strukturę aktywów, wypracowujących przychody ze sprzedaży i wynik przedsiębiorstwa. O dużej wartości informacyjnej wskaźnika ROI świadczy fakt, że zależy od:</w:t>
      </w:r>
    </w:p>
    <w:p w:rsidR="00952986" w:rsidRDefault="001378DB" w:rsidP="001378DB">
      <w:pPr>
        <w:pStyle w:val="Akapitzlist"/>
        <w:numPr>
          <w:ilvl w:val="0"/>
          <w:numId w:val="3"/>
        </w:numPr>
        <w:spacing w:after="0" w:line="240" w:lineRule="auto"/>
        <w:jc w:val="both"/>
      </w:pPr>
      <w:r>
        <w:t>realizowanych przychodów ze sprzedaży,</w:t>
      </w:r>
    </w:p>
    <w:p w:rsidR="001378DB" w:rsidRDefault="001378DB" w:rsidP="001378DB">
      <w:pPr>
        <w:pStyle w:val="Akapitzlist"/>
        <w:numPr>
          <w:ilvl w:val="0"/>
          <w:numId w:val="3"/>
        </w:numPr>
        <w:spacing w:after="0" w:line="240" w:lineRule="auto"/>
        <w:jc w:val="both"/>
      </w:pPr>
      <w:r>
        <w:t>ponoszonych kosztów,</w:t>
      </w:r>
    </w:p>
    <w:p w:rsidR="001378DB" w:rsidRDefault="001378DB" w:rsidP="001378DB">
      <w:pPr>
        <w:pStyle w:val="Akapitzlist"/>
        <w:numPr>
          <w:ilvl w:val="0"/>
          <w:numId w:val="3"/>
        </w:numPr>
        <w:spacing w:after="0" w:line="240" w:lineRule="auto"/>
        <w:jc w:val="both"/>
      </w:pPr>
      <w:r>
        <w:t>wielkości aktywów operacyjnych.</w:t>
      </w:r>
    </w:p>
    <w:p w:rsidR="007F22A5" w:rsidRDefault="001378DB" w:rsidP="001378DB">
      <w:pPr>
        <w:spacing w:after="0" w:line="240" w:lineRule="auto"/>
        <w:jc w:val="both"/>
      </w:pPr>
      <w:r>
        <w:t>Oba czynniki w przedstawionej zależności wskazują na politykę sprzedaży i pełnią rolę zmiennych sterujących w planowaniu operacyjnym, umożliwiając wypracowanie sposobów i metod poprawy rentowności przedsiębiorstwa</w:t>
      </w:r>
      <w:r w:rsidR="007F22A5">
        <w:t>. Analizę przyczyn osiągnięcia wymaganej wartości wskaźnika ROI można przeprowadzić na podstawie zapisu piramidalnego wskaźnika przedstawionego na rysunku:</w:t>
      </w:r>
    </w:p>
    <w:p w:rsidR="007F22A5" w:rsidRDefault="007B0032" w:rsidP="001378DB">
      <w:pPr>
        <w:spacing w:after="0" w:line="240" w:lineRule="auto"/>
        <w:jc w:val="both"/>
      </w:pPr>
      <w:r>
        <w:rPr>
          <w:noProof/>
          <w:lang w:eastAsia="pl-PL"/>
        </w:rPr>
        <w:drawing>
          <wp:inline distT="0" distB="0" distL="0" distR="0" wp14:anchorId="74010C16" wp14:editId="6739A0B3">
            <wp:extent cx="5758696" cy="4371975"/>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4373512"/>
                    </a:xfrm>
                    <a:prstGeom prst="rect">
                      <a:avLst/>
                    </a:prstGeom>
                    <a:noFill/>
                    <a:ln>
                      <a:noFill/>
                    </a:ln>
                  </pic:spPr>
                </pic:pic>
              </a:graphicData>
            </a:graphic>
          </wp:inline>
        </w:drawing>
      </w:r>
    </w:p>
    <w:p w:rsidR="002B3A4C" w:rsidRDefault="007F22A5" w:rsidP="001378DB">
      <w:pPr>
        <w:spacing w:after="0" w:line="240" w:lineRule="auto"/>
        <w:jc w:val="both"/>
      </w:pPr>
      <w:r>
        <w:lastRenderedPageBreak/>
        <w:t>Analiza wpływu obu czynników wskazuje, że wysoką rentowność można uzyskać przez wysoką rentowność sprzedaży (najczęściej dla drogich i niepowtarzalnych produktów o ugruntowanej pozycji rynkowej  i wysokim zysku jednostkowym) lub poprzez obniżenie rentowności sprzedaży (najczęściej poprzez obniżenie ceny)</w:t>
      </w:r>
      <w:r w:rsidR="002B3A4C">
        <w:t xml:space="preserve">, ale wysoki obrót towarowy, wolumen sprzedaży i tym samym rotację aktywów (sposób wykorzystywany w sieciach sprzedaży produktów masowych). </w:t>
      </w:r>
    </w:p>
    <w:p w:rsidR="002B3A4C" w:rsidRDefault="002B3A4C" w:rsidP="001378DB">
      <w:pPr>
        <w:spacing w:after="0" w:line="240" w:lineRule="auto"/>
        <w:jc w:val="both"/>
      </w:pPr>
    </w:p>
    <w:p w:rsidR="001378DB" w:rsidRDefault="002B3A4C" w:rsidP="001378DB">
      <w:pPr>
        <w:spacing w:after="0" w:line="240" w:lineRule="auto"/>
        <w:jc w:val="both"/>
      </w:pPr>
      <w:r>
        <w:t xml:space="preserve">Konsekwencje dla zarządzania logistyką będą różna dla obu rodzajów polityki sprzedaży. </w:t>
      </w:r>
      <w:r w:rsidR="00E84374">
        <w:t xml:space="preserve">                             </w:t>
      </w:r>
      <w:r>
        <w:t xml:space="preserve">W pierwszym – wymagana jest indywidualizacja obsługi klienta przy umiarkowanych obrotach </w:t>
      </w:r>
      <w:r w:rsidR="00E84374">
        <w:t xml:space="preserve">                    </w:t>
      </w:r>
      <w:r>
        <w:t xml:space="preserve">i wielkości </w:t>
      </w:r>
      <w:r w:rsidR="00E84374">
        <w:t>przepływu materiałowego w procesie zaopatrzenia i logistyki produkcji jak i przepływu produktowego</w:t>
      </w:r>
      <w:r w:rsidR="00EB3C87">
        <w:t xml:space="preserve"> w procesie magazynowania i transportu na etapie dystrybucji. W drugim wymagana sprawna obsługa masowych strumieni materiałowych i produktowych, duża przepustowość kanałów dystrybucji w celu obniżania kosztów produktu w łańcuchu dostaw.</w:t>
      </w:r>
    </w:p>
    <w:p w:rsidR="00EB3C87" w:rsidRDefault="00EB3C87" w:rsidP="001378DB">
      <w:pPr>
        <w:spacing w:after="0" w:line="240" w:lineRule="auto"/>
        <w:jc w:val="both"/>
      </w:pPr>
    </w:p>
    <w:p w:rsidR="00EB3C87" w:rsidRDefault="00EB3C87" w:rsidP="001378DB">
      <w:pPr>
        <w:spacing w:after="0" w:line="240" w:lineRule="auto"/>
        <w:jc w:val="both"/>
      </w:pPr>
      <w:r>
        <w:t xml:space="preserve">Analiza logistyczna czynników wpływających na rentowność zaangażowanego kapitału podkreśla wpływ obrotu aktywami zarządzanymi przez logistykę oraz znaczenie zysku jednostkowego i tym samym kształtowanie kosztów w łańcuchu dostaw (przy współpracy z dostawcami, odbiorcami i podwykonawcami). </w:t>
      </w:r>
      <w:r w:rsidR="007A6AC4">
        <w:t xml:space="preserve">Niezbędna jest także racjonalna analiza stosowanych rozwiązań w ramach controllingu logistyki, gdyż podejmowane decyzje mogą być rozwiązaniem doraźnym  - np. przy niskim obrocie ładunkiem zwiększenie zysku i rotacji zasobów magazynowych </w:t>
      </w:r>
      <w:r w:rsidR="00BE0FFD">
        <w:t>można uzyskać poprzez zmniejszenie powierzchni magazynowej i tym samym ograniczenie aktywów operacyjnych, ale w szczytach popytu lub rozwoju sprzedaży może to doprowadzić do mniejszej dostępności produktu dla klienta ze względu na ograniczoną przepustowość magazynu.</w:t>
      </w:r>
    </w:p>
    <w:p w:rsidR="00BE0FFD" w:rsidRDefault="00BE0FFD" w:rsidP="001378DB">
      <w:pPr>
        <w:spacing w:after="0" w:line="240" w:lineRule="auto"/>
        <w:jc w:val="both"/>
      </w:pPr>
    </w:p>
    <w:p w:rsidR="00BE0FFD" w:rsidRDefault="00BE0FFD" w:rsidP="001378DB">
      <w:pPr>
        <w:spacing w:after="0" w:line="240" w:lineRule="auto"/>
        <w:jc w:val="both"/>
      </w:pPr>
      <w:r>
        <w:t>Analiza wskaźnikowa oceny sytuacji przedsiębiorstwa przeprowadzana jest najczęściej w pięciu obszarach:</w:t>
      </w:r>
    </w:p>
    <w:p w:rsidR="00BE0FFD" w:rsidRDefault="00BE0FFD" w:rsidP="00BE0FFD">
      <w:pPr>
        <w:pStyle w:val="Akapitzlist"/>
        <w:numPr>
          <w:ilvl w:val="0"/>
          <w:numId w:val="4"/>
        </w:numPr>
        <w:spacing w:after="0" w:line="240" w:lineRule="auto"/>
        <w:jc w:val="both"/>
      </w:pPr>
      <w:r>
        <w:t>rentowności,</w:t>
      </w:r>
    </w:p>
    <w:p w:rsidR="00BE0FFD" w:rsidRDefault="00BE0FFD" w:rsidP="00BE0FFD">
      <w:pPr>
        <w:pStyle w:val="Akapitzlist"/>
        <w:numPr>
          <w:ilvl w:val="0"/>
          <w:numId w:val="4"/>
        </w:numPr>
        <w:spacing w:after="0" w:line="240" w:lineRule="auto"/>
        <w:jc w:val="both"/>
      </w:pPr>
      <w:r>
        <w:t>płynności finansowej,</w:t>
      </w:r>
    </w:p>
    <w:p w:rsidR="00BE0FFD" w:rsidRDefault="00BE0FFD" w:rsidP="00BE0FFD">
      <w:pPr>
        <w:pStyle w:val="Akapitzlist"/>
        <w:numPr>
          <w:ilvl w:val="0"/>
          <w:numId w:val="4"/>
        </w:numPr>
        <w:spacing w:after="0" w:line="240" w:lineRule="auto"/>
        <w:jc w:val="both"/>
      </w:pPr>
      <w:r>
        <w:t>zadłużenia i zdolności obsługi długu,</w:t>
      </w:r>
    </w:p>
    <w:p w:rsidR="00BE0FFD" w:rsidRDefault="00D0046A" w:rsidP="00BE0FFD">
      <w:pPr>
        <w:pStyle w:val="Akapitzlist"/>
        <w:numPr>
          <w:ilvl w:val="0"/>
          <w:numId w:val="4"/>
        </w:numPr>
        <w:spacing w:after="0" w:line="240" w:lineRule="auto"/>
        <w:jc w:val="both"/>
      </w:pPr>
      <w:r>
        <w:t>sprawności działania,</w:t>
      </w:r>
    </w:p>
    <w:p w:rsidR="00D0046A" w:rsidRDefault="00D0046A" w:rsidP="00D0046A">
      <w:pPr>
        <w:pStyle w:val="Akapitzlist"/>
        <w:numPr>
          <w:ilvl w:val="0"/>
          <w:numId w:val="4"/>
        </w:numPr>
        <w:spacing w:after="0" w:line="240" w:lineRule="auto"/>
        <w:jc w:val="both"/>
      </w:pPr>
      <w:r>
        <w:t>rynkowej wartości akcji przedsiębiorstwa i kapitału.</w:t>
      </w:r>
    </w:p>
    <w:p w:rsidR="00D0046A" w:rsidRDefault="00D0046A" w:rsidP="00D0046A">
      <w:pPr>
        <w:spacing w:after="0" w:line="240" w:lineRule="auto"/>
        <w:jc w:val="both"/>
      </w:pPr>
    </w:p>
    <w:p w:rsidR="00D0046A" w:rsidRDefault="00D0046A" w:rsidP="00D0046A">
      <w:pPr>
        <w:spacing w:after="0" w:line="240" w:lineRule="auto"/>
        <w:jc w:val="both"/>
      </w:pPr>
      <w:r>
        <w:t>Oceniając wpływ zarządzania logistyką na wynik przedsiębiorstwa, ograniczymy analizę do trzech obszarów:</w:t>
      </w:r>
    </w:p>
    <w:p w:rsidR="00D0046A" w:rsidRDefault="00D0046A" w:rsidP="00D0046A">
      <w:pPr>
        <w:pStyle w:val="Akapitzlist"/>
        <w:numPr>
          <w:ilvl w:val="0"/>
          <w:numId w:val="5"/>
        </w:numPr>
        <w:spacing w:after="0" w:line="240" w:lineRule="auto"/>
        <w:jc w:val="both"/>
      </w:pPr>
      <w:r>
        <w:t>rentowności,</w:t>
      </w:r>
    </w:p>
    <w:p w:rsidR="00D0046A" w:rsidRDefault="00D0046A" w:rsidP="00D0046A">
      <w:pPr>
        <w:pStyle w:val="Akapitzlist"/>
        <w:numPr>
          <w:ilvl w:val="0"/>
          <w:numId w:val="5"/>
        </w:numPr>
        <w:spacing w:after="0" w:line="240" w:lineRule="auto"/>
        <w:jc w:val="both"/>
      </w:pPr>
      <w:r>
        <w:t>płynności finansowej,</w:t>
      </w:r>
    </w:p>
    <w:p w:rsidR="00D0046A" w:rsidRDefault="00D0046A" w:rsidP="00D0046A">
      <w:pPr>
        <w:pStyle w:val="Akapitzlist"/>
        <w:numPr>
          <w:ilvl w:val="0"/>
          <w:numId w:val="5"/>
        </w:numPr>
        <w:spacing w:after="0" w:line="240" w:lineRule="auto"/>
        <w:jc w:val="both"/>
      </w:pPr>
      <w:r>
        <w:t>sprawności działania (obrotowości).</w:t>
      </w:r>
    </w:p>
    <w:p w:rsidR="00D0046A" w:rsidRDefault="00D0046A" w:rsidP="00D0046A">
      <w:pPr>
        <w:spacing w:after="0" w:line="240" w:lineRule="auto"/>
        <w:jc w:val="both"/>
      </w:pPr>
    </w:p>
    <w:p w:rsidR="00D0046A" w:rsidRDefault="004021B4" w:rsidP="00D0046A">
      <w:pPr>
        <w:spacing w:after="0" w:line="240" w:lineRule="auto"/>
        <w:jc w:val="both"/>
      </w:pPr>
      <w:r>
        <w:t xml:space="preserve">Wpływ działań logistycznych na zadłużenie przedsiębiorstwa, zdolność obsługi długu oraz wartość rynkową akcji przedsiębiorstwa jest mało znaczący i niezauważalny w działalności operacyjnej przedsiębiorstwa. </w:t>
      </w:r>
    </w:p>
    <w:p w:rsidR="004021B4" w:rsidRDefault="004021B4" w:rsidP="00D0046A">
      <w:pPr>
        <w:spacing w:after="0" w:line="240" w:lineRule="auto"/>
        <w:jc w:val="both"/>
      </w:pPr>
    </w:p>
    <w:p w:rsidR="00D65BC0" w:rsidRDefault="00D65BC0" w:rsidP="00D0046A">
      <w:pPr>
        <w:spacing w:after="0" w:line="240" w:lineRule="auto"/>
        <w:jc w:val="both"/>
      </w:pPr>
      <w:r>
        <w:t>Wskaźniki te oparte są na sprawozdaniach finansowych i można je wykorzystać do oceny logistycznej działalności przedsiębiorstwa przemysłowego. Na podstawie analizy bilansu oraz rachunku zysków             i strat można określić związki i zależności pomiędzy poszczególnymi wielkościami, zachodzące w toku prowadzonej działalności gospodarczej. Dla logistyki istotne są informacje otrzymane w wyniku analizy, które dotyczą stanu gospodarki finansowej przedsiębiorstwa uzależnionego od przepływów fizycznych, informacji oraz obsługi klienta.</w:t>
      </w:r>
    </w:p>
    <w:p w:rsidR="00D65BC0" w:rsidRDefault="00D65BC0" w:rsidP="00D0046A">
      <w:pPr>
        <w:spacing w:after="0" w:line="240" w:lineRule="auto"/>
        <w:jc w:val="both"/>
      </w:pPr>
    </w:p>
    <w:p w:rsidR="00D65BC0" w:rsidRDefault="00D65BC0" w:rsidP="00AE601C">
      <w:pPr>
        <w:spacing w:after="0" w:line="240" w:lineRule="auto"/>
        <w:jc w:val="center"/>
        <w:rPr>
          <w:b/>
        </w:rPr>
      </w:pPr>
    </w:p>
    <w:p w:rsidR="00D65BC0" w:rsidRDefault="00D65BC0" w:rsidP="00AE601C">
      <w:pPr>
        <w:spacing w:after="0" w:line="240" w:lineRule="auto"/>
        <w:jc w:val="center"/>
        <w:rPr>
          <w:b/>
        </w:rPr>
      </w:pPr>
    </w:p>
    <w:p w:rsidR="00D65BC0" w:rsidRDefault="00D65BC0" w:rsidP="00AE601C">
      <w:pPr>
        <w:spacing w:after="0" w:line="240" w:lineRule="auto"/>
        <w:jc w:val="center"/>
        <w:rPr>
          <w:b/>
        </w:rPr>
      </w:pPr>
    </w:p>
    <w:p w:rsidR="004021B4" w:rsidRDefault="004021B4" w:rsidP="00AE601C">
      <w:pPr>
        <w:spacing w:after="0" w:line="240" w:lineRule="auto"/>
        <w:jc w:val="center"/>
        <w:rPr>
          <w:b/>
        </w:rPr>
      </w:pPr>
      <w:r w:rsidRPr="00AE601C">
        <w:rPr>
          <w:b/>
        </w:rPr>
        <w:lastRenderedPageBreak/>
        <w:t>WPŁYW ZARZĄDZANIA LOGISTYKĄ NA RENTOWNOŚĆ PRZEDSIĘBIORSTWA</w:t>
      </w:r>
    </w:p>
    <w:p w:rsidR="00D65BC0" w:rsidRPr="00AE601C" w:rsidRDefault="00D65BC0" w:rsidP="00AE601C">
      <w:pPr>
        <w:spacing w:after="0" w:line="240" w:lineRule="auto"/>
        <w:jc w:val="center"/>
        <w:rPr>
          <w:b/>
        </w:rPr>
      </w:pPr>
      <w:r>
        <w:rPr>
          <w:b/>
        </w:rPr>
        <w:t>(wskaźniki efektywności ekonomicznej)</w:t>
      </w:r>
    </w:p>
    <w:p w:rsidR="004021B4" w:rsidRDefault="004021B4" w:rsidP="00D0046A">
      <w:pPr>
        <w:spacing w:after="0" w:line="240" w:lineRule="auto"/>
        <w:jc w:val="both"/>
      </w:pPr>
    </w:p>
    <w:p w:rsidR="004021B4" w:rsidRDefault="00FA7C33" w:rsidP="00D0046A">
      <w:pPr>
        <w:spacing w:after="0" w:line="240" w:lineRule="auto"/>
        <w:jc w:val="both"/>
      </w:pPr>
      <w:r>
        <w:t>Zarządzanie logistyką przedsiębiorstwa ma na celu wspomaganie i zabezpieczenie efektywności gospodarowania w przedsiębiorstwie, czyli zdolności do generowania zysku. Wskaźniki służące do</w:t>
      </w:r>
      <w:r w:rsidR="00AE601C">
        <w:t xml:space="preserve"> oceny rentowności (zyskowności w przypadku osiągania zysku i deficytowości w przypadku ponoszenia straty) są określane wskaźnikami stopy zwrotu i stanowią relację:</w:t>
      </w:r>
    </w:p>
    <w:p w:rsidR="00AE601C" w:rsidRDefault="00AE601C" w:rsidP="00AE601C">
      <w:pPr>
        <w:pStyle w:val="Akapitzlist"/>
        <w:numPr>
          <w:ilvl w:val="0"/>
          <w:numId w:val="6"/>
        </w:numPr>
        <w:spacing w:after="0" w:line="240" w:lineRule="auto"/>
        <w:jc w:val="both"/>
      </w:pPr>
      <w:r>
        <w:t>zysku do sprzedaży – wskaźnik rentowności sprzedaży,</w:t>
      </w:r>
    </w:p>
    <w:p w:rsidR="00AE601C" w:rsidRDefault="00AE601C" w:rsidP="00AE601C">
      <w:pPr>
        <w:pStyle w:val="Akapitzlist"/>
        <w:numPr>
          <w:ilvl w:val="0"/>
          <w:numId w:val="6"/>
        </w:numPr>
        <w:spacing w:after="0" w:line="240" w:lineRule="auto"/>
        <w:jc w:val="both"/>
      </w:pPr>
      <w:r>
        <w:t>zysku do wartości aktywów – wskaźnik rentowności aktywów (majątku),</w:t>
      </w:r>
    </w:p>
    <w:p w:rsidR="00AE601C" w:rsidRDefault="00AE601C" w:rsidP="00AE601C">
      <w:pPr>
        <w:pStyle w:val="Akapitzlist"/>
        <w:numPr>
          <w:ilvl w:val="0"/>
          <w:numId w:val="6"/>
        </w:numPr>
        <w:spacing w:after="0" w:line="240" w:lineRule="auto"/>
        <w:jc w:val="both"/>
      </w:pPr>
      <w:r>
        <w:t>zysku do kapitału – wskaźnik rentowności kapitału.</w:t>
      </w:r>
    </w:p>
    <w:p w:rsidR="00AE601C" w:rsidRDefault="00AE601C" w:rsidP="00AE601C">
      <w:pPr>
        <w:spacing w:after="0" w:line="240" w:lineRule="auto"/>
        <w:jc w:val="both"/>
      </w:pPr>
    </w:p>
    <w:p w:rsidR="00AE601C" w:rsidRDefault="00AE601C" w:rsidP="00AE601C">
      <w:pPr>
        <w:spacing w:after="0" w:line="240" w:lineRule="auto"/>
        <w:jc w:val="both"/>
      </w:pPr>
      <w:r w:rsidRPr="001D5518">
        <w:rPr>
          <w:u w:val="single"/>
        </w:rPr>
        <w:t>Rentowność sprzedaży</w:t>
      </w:r>
      <w:r>
        <w:t xml:space="preserve"> określa zwrot ze sprzedaży, czyli udział zysku w wartości sprzedaży lub jaki zysk przynosi określona sprzedaż</w:t>
      </w:r>
      <w:r w:rsidR="00B73818">
        <w:t xml:space="preserve"> (opłacalność sprzedaży)</w:t>
      </w:r>
      <w:r>
        <w:t>. Im niższa wartość tego wskaźnika, tym większa musi być zrealizowana sprzedaż, aby osiągnąć określoną kwotę zysku.</w:t>
      </w:r>
    </w:p>
    <w:p w:rsidR="00AE601C" w:rsidRDefault="00AE601C" w:rsidP="00AE601C">
      <w:pPr>
        <w:spacing w:after="0" w:line="240" w:lineRule="auto"/>
        <w:jc w:val="both"/>
      </w:pPr>
    </w:p>
    <w:p w:rsidR="00BE0FFD" w:rsidRPr="00480E61" w:rsidRDefault="00480E61" w:rsidP="001378DB">
      <w:pPr>
        <w:spacing w:after="0" w:line="240" w:lineRule="auto"/>
        <w:jc w:val="both"/>
        <w:rPr>
          <w:rFonts w:eastAsiaTheme="minorEastAsia"/>
        </w:rPr>
      </w:pPr>
      <m:oMathPara>
        <m:oMath>
          <m:r>
            <w:rPr>
              <w:rFonts w:ascii="Cambria Math" w:hAnsi="Cambria Math"/>
            </w:rPr>
            <m:t xml:space="preserve">rentowność sprzedaży = </m:t>
          </m:r>
          <m:f>
            <m:fPr>
              <m:ctrlPr>
                <w:rPr>
                  <w:rFonts w:ascii="Cambria Math" w:hAnsi="Cambria Math"/>
                  <w:i/>
                </w:rPr>
              </m:ctrlPr>
            </m:fPr>
            <m:num>
              <m:r>
                <w:rPr>
                  <w:rFonts w:ascii="Cambria Math" w:hAnsi="Cambria Math"/>
                </w:rPr>
                <m:t>zysk ze sprzedaży</m:t>
              </m:r>
            </m:num>
            <m:den>
              <m:r>
                <w:rPr>
                  <w:rFonts w:ascii="Cambria Math" w:hAnsi="Cambria Math"/>
                </w:rPr>
                <m:t>przychody netto ze sprzedaży</m:t>
              </m:r>
            </m:den>
          </m:f>
          <m:r>
            <w:rPr>
              <w:rFonts w:ascii="Cambria Math" w:hAnsi="Cambria Math"/>
            </w:rPr>
            <m:t xml:space="preserve"> ×100%</m:t>
          </m:r>
        </m:oMath>
      </m:oMathPara>
    </w:p>
    <w:p w:rsidR="00480E61" w:rsidRDefault="00480E61" w:rsidP="001378DB">
      <w:pPr>
        <w:spacing w:after="0" w:line="240" w:lineRule="auto"/>
        <w:jc w:val="both"/>
        <w:rPr>
          <w:rFonts w:eastAsiaTheme="minorEastAsia"/>
        </w:rPr>
      </w:pPr>
    </w:p>
    <w:p w:rsidR="00480E61" w:rsidRDefault="00480E61" w:rsidP="001378DB">
      <w:pPr>
        <w:spacing w:after="0" w:line="240" w:lineRule="auto"/>
        <w:jc w:val="both"/>
        <w:rPr>
          <w:rFonts w:eastAsiaTheme="minorEastAsia"/>
        </w:rPr>
      </w:pPr>
      <w:r>
        <w:rPr>
          <w:rFonts w:eastAsiaTheme="minorEastAsia"/>
        </w:rPr>
        <w:t>Zysk wypracowany jest w procesie sprzedaży produktu klientowi w końcowym punkcie łańcucha dostaw. Zatem rentowność sprzedaży będzie zależna od wielkości kosztów ponoszonych w łańcuchu dostaw</w:t>
      </w:r>
      <w:r w:rsidR="002F0231">
        <w:rPr>
          <w:rFonts w:eastAsiaTheme="minorEastAsia"/>
        </w:rPr>
        <w:t>. Koszty są zależne od rodzaju produktu, wymagań transportu i magazynowania, od rodzaju i odległości rynku docelowego oraz rodzaju klientów – ich wymagań, poziomu obsługi. Przychody ze sprzedaży są pochodną ilości sprzedanych produktów, ich struktury asortymentowej oraz polityki cenowej na docelowym rynku.  Z punktu widzenia zabezpieczenia logistycznego, ilość sprzedanych wyrobów jest uzależniona od dostępności produktów, wymagającej często utrzymywania zapasów wielu pozycji asortymentowych w wielu lokalizacjach łańcucha dostaw.</w:t>
      </w:r>
      <w:r w:rsidR="001D5518">
        <w:rPr>
          <w:rFonts w:eastAsiaTheme="minorEastAsia"/>
        </w:rPr>
        <w:t xml:space="preserve"> Przychody ze sprzedaży są uzależnione od jakości produktów, a jakość z kolei jest uzależniona od jakości materiałów, dostępu do najlepszych  dostawców. Zatem zarządzanie logistyką wpływa zarówno na licznik, jak i mianownik współczynnika rentowności, wpływając na stopę zwrotu sprzedaży.</w:t>
      </w:r>
    </w:p>
    <w:p w:rsidR="00F12D81" w:rsidRDefault="00F12D81" w:rsidP="001378DB">
      <w:pPr>
        <w:spacing w:after="0" w:line="240" w:lineRule="auto"/>
        <w:jc w:val="both"/>
        <w:rPr>
          <w:u w:val="single"/>
        </w:rPr>
      </w:pPr>
    </w:p>
    <w:p w:rsidR="001D5518" w:rsidRDefault="001D5518" w:rsidP="001378DB">
      <w:pPr>
        <w:spacing w:after="0" w:line="240" w:lineRule="auto"/>
        <w:jc w:val="both"/>
      </w:pPr>
      <w:r w:rsidRPr="00C62324">
        <w:rPr>
          <w:u w:val="single"/>
        </w:rPr>
        <w:t>Rentowność aktywów</w:t>
      </w:r>
      <w:r>
        <w:t xml:space="preserve">, określana jako zwrot </w:t>
      </w:r>
      <w:r w:rsidR="00C62324">
        <w:t>z majątku, informuje o zdolności aktywów przedsiębiorstwa do generowania zysku. Wskaźnik ROA (Return on assets) określa zwrot wielkości zysku netto przypadającego na jednostkę wartości zaangażowanego majątku i pokazuje jak efektywnie przedsiębiorstwo zarządza aktywami. Informuje także o wielkości zysku przypadającego na jednostkę źródeł finansowania zaangażowanych w aktywach przedsiębiorstwa.</w:t>
      </w:r>
    </w:p>
    <w:p w:rsidR="00C62324" w:rsidRDefault="00C62324" w:rsidP="001378DB">
      <w:pPr>
        <w:spacing w:after="0" w:line="240" w:lineRule="auto"/>
        <w:jc w:val="both"/>
      </w:pPr>
    </w:p>
    <w:p w:rsidR="00C62324" w:rsidRPr="00E10DE0" w:rsidRDefault="00E10DE0" w:rsidP="001378DB">
      <w:pPr>
        <w:spacing w:after="0" w:line="240" w:lineRule="auto"/>
        <w:jc w:val="both"/>
        <w:rPr>
          <w:rFonts w:eastAsiaTheme="minorEastAsia"/>
        </w:rPr>
      </w:pPr>
      <m:oMathPara>
        <m:oMath>
          <m:r>
            <w:rPr>
              <w:rFonts w:ascii="Cambria Math" w:hAnsi="Cambria Math"/>
            </w:rPr>
            <m:t xml:space="preserve">ROA Rentowność aktywów = </m:t>
          </m:r>
          <m:f>
            <m:fPr>
              <m:ctrlPr>
                <w:rPr>
                  <w:rFonts w:ascii="Cambria Math" w:hAnsi="Cambria Math"/>
                  <w:i/>
                </w:rPr>
              </m:ctrlPr>
            </m:fPr>
            <m:num>
              <m:r>
                <w:rPr>
                  <w:rFonts w:ascii="Cambria Math" w:hAnsi="Cambria Math"/>
                </w:rPr>
                <m:t>zysk netto</m:t>
              </m:r>
            </m:num>
            <m:den>
              <m:r>
                <w:rPr>
                  <w:rFonts w:ascii="Cambria Math" w:hAnsi="Cambria Math"/>
                </w:rPr>
                <m:t xml:space="preserve">średni stan aktywów ogółem  </m:t>
              </m:r>
            </m:den>
          </m:f>
          <m:r>
            <w:rPr>
              <w:rFonts w:ascii="Cambria Math" w:hAnsi="Cambria Math"/>
            </w:rPr>
            <m:t xml:space="preserve"> ×100%</m:t>
          </m:r>
        </m:oMath>
      </m:oMathPara>
    </w:p>
    <w:p w:rsidR="00E10DE0" w:rsidRDefault="00E10DE0" w:rsidP="001378DB">
      <w:pPr>
        <w:spacing w:after="0" w:line="240" w:lineRule="auto"/>
        <w:jc w:val="both"/>
        <w:rPr>
          <w:rFonts w:eastAsiaTheme="minorEastAsia"/>
        </w:rPr>
      </w:pPr>
    </w:p>
    <w:p w:rsidR="00E10DE0" w:rsidRDefault="00D63849" w:rsidP="001378DB">
      <w:pPr>
        <w:spacing w:after="0" w:line="240" w:lineRule="auto"/>
        <w:jc w:val="both"/>
        <w:rPr>
          <w:rFonts w:eastAsiaTheme="minorEastAsia"/>
        </w:rPr>
      </w:pPr>
      <w:r>
        <w:rPr>
          <w:rFonts w:eastAsiaTheme="minorEastAsia"/>
        </w:rPr>
        <w:t xml:space="preserve"> </w:t>
      </w:r>
    </w:p>
    <w:p w:rsidR="00D63849" w:rsidRPr="00D63849" w:rsidRDefault="00D63849" w:rsidP="001378DB">
      <w:pPr>
        <w:spacing w:after="0" w:line="240" w:lineRule="auto"/>
        <w:jc w:val="both"/>
        <w:rPr>
          <w:rFonts w:eastAsiaTheme="minorEastAsia"/>
        </w:rPr>
      </w:pPr>
      <m:oMathPara>
        <m:oMath>
          <m:r>
            <w:rPr>
              <w:rFonts w:ascii="Cambria Math" w:hAnsi="Cambria Math"/>
            </w:rPr>
            <m:t>średni stan aktywów =</m:t>
          </m:r>
          <m:d>
            <m:dPr>
              <m:ctrlPr>
                <w:rPr>
                  <w:rFonts w:ascii="Cambria Math" w:hAnsi="Cambria Math"/>
                  <w:i/>
                </w:rPr>
              </m:ctrlPr>
            </m:dPr>
            <m:e>
              <m:r>
                <w:rPr>
                  <w:rFonts w:ascii="Cambria Math" w:hAnsi="Cambria Math"/>
                </w:rPr>
                <m:t>stan początkowy+stan końcowy</m:t>
              </m:r>
            </m:e>
          </m:d>
          <m:r>
            <w:rPr>
              <w:rFonts w:ascii="Cambria Math" w:hAnsi="Cambria Math"/>
            </w:rPr>
            <m:t>/2</m:t>
          </m:r>
        </m:oMath>
      </m:oMathPara>
    </w:p>
    <w:p w:rsidR="00D63849" w:rsidRDefault="00D63849" w:rsidP="001378DB">
      <w:pPr>
        <w:spacing w:after="0" w:line="240" w:lineRule="auto"/>
        <w:jc w:val="both"/>
        <w:rPr>
          <w:rFonts w:eastAsiaTheme="minorEastAsia"/>
        </w:rPr>
      </w:pPr>
    </w:p>
    <w:p w:rsidR="00024045" w:rsidRDefault="00D63849" w:rsidP="001378DB">
      <w:pPr>
        <w:spacing w:after="0" w:line="240" w:lineRule="auto"/>
        <w:jc w:val="both"/>
        <w:rPr>
          <w:rFonts w:eastAsiaTheme="minorEastAsia"/>
        </w:rPr>
      </w:pPr>
      <w:r>
        <w:rPr>
          <w:rFonts w:eastAsiaTheme="minorEastAsia"/>
        </w:rPr>
        <w:t xml:space="preserve">Aby poprawić </w:t>
      </w:r>
      <w:r w:rsidR="00512AAE">
        <w:rPr>
          <w:rFonts w:eastAsiaTheme="minorEastAsia"/>
        </w:rPr>
        <w:t xml:space="preserve">wskaźnik ROA należy albo zwiększać zysk, albo zmniejszać wartość aktywów. Z kolei większy zysk można osiągać, zwiększając </w:t>
      </w:r>
      <w:r w:rsidR="00024045">
        <w:rPr>
          <w:rFonts w:eastAsiaTheme="minorEastAsia"/>
        </w:rPr>
        <w:t>przychody bądź zmniejszając koszty. Zmniejszenie aktyów osiąga się najczęściej pozbywając się części majątku, co czasem bywa celowe zwłaszcza w odniesieniu do aktywów nieprodukcyjnych lub o niewielkim stopniu wykorzystania. Nie mniej o rozwoju i osiąganiu stabilnej pozycji konkurencyjnej przedsiębiorstwa świadczy przyrost wartości aktywów, a nie ich redukcja.</w:t>
      </w:r>
    </w:p>
    <w:p w:rsidR="002179BC" w:rsidRDefault="00024045" w:rsidP="001378DB">
      <w:pPr>
        <w:spacing w:after="0" w:line="240" w:lineRule="auto"/>
        <w:jc w:val="both"/>
        <w:rPr>
          <w:rFonts w:eastAsiaTheme="minorEastAsia"/>
        </w:rPr>
      </w:pPr>
      <w:r>
        <w:rPr>
          <w:rFonts w:eastAsiaTheme="minorEastAsia"/>
        </w:rPr>
        <w:t>Utrzymanie zbędnego i niewykorzystywanego majątku logistycznego (zapasów, środków transportu, powierzchni magazynowych i wyposażenia) lub wykorzystywanie go w niewielkim stopniu, obniża poziom rentowności</w:t>
      </w:r>
      <w:r w:rsidR="002179BC">
        <w:rPr>
          <w:rFonts w:eastAsiaTheme="minorEastAsia"/>
        </w:rPr>
        <w:t xml:space="preserve">. Poziom wykorzystania zasobów logistycznych uzależniony jest od stosowanych </w:t>
      </w:r>
      <w:r w:rsidR="002179BC">
        <w:rPr>
          <w:rFonts w:eastAsiaTheme="minorEastAsia"/>
        </w:rPr>
        <w:lastRenderedPageBreak/>
        <w:t>metod zarządzania logistyką przedsiębiorstwa, planowania harmonogramowania obciążenia zasobów logistycznych w realizowanych procesach.</w:t>
      </w:r>
    </w:p>
    <w:p w:rsidR="002179BC" w:rsidRDefault="002179BC" w:rsidP="001378DB">
      <w:pPr>
        <w:spacing w:after="0" w:line="240" w:lineRule="auto"/>
        <w:jc w:val="both"/>
        <w:rPr>
          <w:rFonts w:eastAsiaTheme="minorEastAsia"/>
        </w:rPr>
      </w:pPr>
    </w:p>
    <w:p w:rsidR="002179BC" w:rsidRDefault="002179BC" w:rsidP="001378DB">
      <w:pPr>
        <w:spacing w:after="0" w:line="240" w:lineRule="auto"/>
        <w:jc w:val="both"/>
        <w:rPr>
          <w:rFonts w:eastAsiaTheme="minorEastAsia"/>
        </w:rPr>
      </w:pPr>
      <w:r>
        <w:rPr>
          <w:rFonts w:eastAsiaTheme="minorEastAsia"/>
        </w:rPr>
        <w:t>Rentowność aktywów może być wynikiem różnej polityki sprzedaży:</w:t>
      </w:r>
    </w:p>
    <w:p w:rsidR="008B7724" w:rsidRDefault="008B7724" w:rsidP="008B7724">
      <w:pPr>
        <w:pStyle w:val="Akapitzlist"/>
        <w:numPr>
          <w:ilvl w:val="0"/>
          <w:numId w:val="7"/>
        </w:numPr>
        <w:spacing w:after="0" w:line="240" w:lineRule="auto"/>
        <w:jc w:val="both"/>
      </w:pPr>
      <w:r>
        <w:t>polityki ilości (polityki niskich cen), w której niska zyskowność sprzedaży jest rekompensowana wysoką rotacją aktywów (dużym obrotem produktowym w łańcuchu dostaw powodowanym niskimi cenami),</w:t>
      </w:r>
    </w:p>
    <w:p w:rsidR="00121479" w:rsidRDefault="00121479" w:rsidP="008B7724">
      <w:pPr>
        <w:pStyle w:val="Akapitzlist"/>
        <w:numPr>
          <w:ilvl w:val="0"/>
          <w:numId w:val="7"/>
        </w:numPr>
        <w:spacing w:after="0" w:line="240" w:lineRule="auto"/>
        <w:jc w:val="both"/>
      </w:pPr>
      <w:r>
        <w:t>polityki jakości (polityki wysokich cen), w której jest osiągana wysoką zyskowność sprzedaży, jednak przy stosunkowo niskiej rotacji aktywów (ze względu na wysoki poziom cen).</w:t>
      </w:r>
    </w:p>
    <w:p w:rsidR="00D63849" w:rsidRDefault="00121479" w:rsidP="00121479">
      <w:pPr>
        <w:spacing w:after="0" w:line="240" w:lineRule="auto"/>
        <w:jc w:val="both"/>
      </w:pPr>
      <w:r>
        <w:t>Aby osiągnąć wysoką rentowność aktywów logistyki, należy dobrać odpowiednie metody zarządzania logistyką (np. odtwarzania zapasów, synchronizacji zaopatrzenia z produkcją wg metody JIT, optymalizacji wykorzystania środków transportu i planowania tras). Celem jest zagospodarowanie i włączenie</w:t>
      </w:r>
      <w:r w:rsidR="008B7724">
        <w:t xml:space="preserve"> </w:t>
      </w:r>
      <w:r>
        <w:t xml:space="preserve">do pracy jak największej ilości aktywów i planowanie ich wykorzystania na możliwie najwyższym poziomie (za odpowiedni jest uznawany poziom powyżej 90%). Częsty przegląd poziomu wykorzystania aktywów logistyki (trwałych i obrotowych) oraz ich zagospodarowanie (lub redukcja, odsprzedaż, wydzierżawienie), umożliwia podwyższenie wskaźnika rentowności aktywów, pod warunkiem utrzymania dotychczasowego </w:t>
      </w:r>
      <w:r w:rsidR="00E76061">
        <w:t>poziomu sprzedaży. Oczywiście zaangażowanie zasobów powinno być produktywne, a zatem tworzące wartość dodaną – na co będzie wskazywał zysk w liczniku wskaźnika ROA. Przykładowo podwyższenia rentowności nie można osiągnąć poprzez wyższy poziom wykorzystania aktywów magazynowych (np. współczynnik wykorzystania miejsc magazynowych), jeżeli będą na nich zalegały nadmierne zapasy.</w:t>
      </w:r>
    </w:p>
    <w:p w:rsidR="00EB3DDF" w:rsidRDefault="00EB3DDF" w:rsidP="00121479">
      <w:pPr>
        <w:spacing w:after="0" w:line="240" w:lineRule="auto"/>
        <w:jc w:val="both"/>
      </w:pPr>
    </w:p>
    <w:p w:rsidR="00E76061" w:rsidRPr="009D2249" w:rsidRDefault="00EB3DDF" w:rsidP="00121479">
      <w:pPr>
        <w:spacing w:after="0" w:line="240" w:lineRule="auto"/>
        <w:jc w:val="both"/>
        <w:rPr>
          <w:sz w:val="36"/>
          <w:szCs w:val="36"/>
        </w:rPr>
      </w:pPr>
      <w:r w:rsidRPr="009D2249">
        <w:rPr>
          <w:sz w:val="36"/>
          <w:szCs w:val="36"/>
        </w:rPr>
        <w:t>Przykład</w:t>
      </w:r>
    </w:p>
    <w:tbl>
      <w:tblPr>
        <w:tblStyle w:val="Tabela-Siatka"/>
        <w:tblW w:w="0" w:type="auto"/>
        <w:tblLook w:val="04A0" w:firstRow="1" w:lastRow="0" w:firstColumn="1" w:lastColumn="0" w:noHBand="0" w:noVBand="1"/>
      </w:tblPr>
      <w:tblGrid>
        <w:gridCol w:w="2943"/>
        <w:gridCol w:w="2089"/>
        <w:gridCol w:w="2090"/>
        <w:gridCol w:w="2090"/>
      </w:tblGrid>
      <w:tr w:rsidR="00EB3DDF" w:rsidTr="00EB3DDF">
        <w:tc>
          <w:tcPr>
            <w:tcW w:w="2943" w:type="dxa"/>
            <w:vAlign w:val="center"/>
          </w:tcPr>
          <w:p w:rsidR="00EB3DDF" w:rsidRDefault="00EB3DDF" w:rsidP="00EB3DDF">
            <w:pPr>
              <w:jc w:val="center"/>
            </w:pPr>
            <w:r>
              <w:t>Dane przedsiębiorstwa</w:t>
            </w:r>
          </w:p>
        </w:tc>
        <w:tc>
          <w:tcPr>
            <w:tcW w:w="2089" w:type="dxa"/>
            <w:vAlign w:val="center"/>
          </w:tcPr>
          <w:p w:rsidR="00EB3DDF" w:rsidRDefault="00EB3DDF" w:rsidP="00EB3DDF">
            <w:pPr>
              <w:jc w:val="center"/>
            </w:pPr>
            <w:r>
              <w:t>2012</w:t>
            </w:r>
          </w:p>
        </w:tc>
        <w:tc>
          <w:tcPr>
            <w:tcW w:w="2090" w:type="dxa"/>
            <w:vAlign w:val="center"/>
          </w:tcPr>
          <w:p w:rsidR="00EB3DDF" w:rsidRDefault="00EB3DDF" w:rsidP="00EB3DDF">
            <w:pPr>
              <w:jc w:val="center"/>
            </w:pPr>
            <w:r>
              <w:t>2013</w:t>
            </w:r>
          </w:p>
        </w:tc>
        <w:tc>
          <w:tcPr>
            <w:tcW w:w="2090" w:type="dxa"/>
            <w:vAlign w:val="center"/>
          </w:tcPr>
          <w:p w:rsidR="00EB3DDF" w:rsidRDefault="00EB3DDF" w:rsidP="00EB3DDF">
            <w:pPr>
              <w:jc w:val="center"/>
            </w:pPr>
            <w:r>
              <w:t>Wskaźnik dynamiki 2012 = 100%</w:t>
            </w:r>
          </w:p>
        </w:tc>
      </w:tr>
      <w:tr w:rsidR="00EB3DDF" w:rsidTr="00EB3DDF">
        <w:tc>
          <w:tcPr>
            <w:tcW w:w="2943" w:type="dxa"/>
          </w:tcPr>
          <w:p w:rsidR="00EB3DDF" w:rsidRDefault="00EB3DDF" w:rsidP="00121479">
            <w:pPr>
              <w:jc w:val="both"/>
            </w:pPr>
            <w:r>
              <w:t>Zysk brutto</w:t>
            </w:r>
          </w:p>
        </w:tc>
        <w:tc>
          <w:tcPr>
            <w:tcW w:w="2089" w:type="dxa"/>
          </w:tcPr>
          <w:p w:rsidR="00EB3DDF" w:rsidRDefault="00EB3DDF" w:rsidP="00EB3DDF">
            <w:pPr>
              <w:jc w:val="right"/>
            </w:pPr>
            <w:r>
              <w:t>865 540,00</w:t>
            </w:r>
          </w:p>
        </w:tc>
        <w:tc>
          <w:tcPr>
            <w:tcW w:w="2090" w:type="dxa"/>
          </w:tcPr>
          <w:p w:rsidR="00EB3DDF" w:rsidRDefault="00EB3DDF" w:rsidP="00EB3DDF">
            <w:pPr>
              <w:jc w:val="right"/>
            </w:pPr>
            <w:r>
              <w:t>1 185 840,00</w:t>
            </w:r>
          </w:p>
        </w:tc>
        <w:tc>
          <w:tcPr>
            <w:tcW w:w="2090" w:type="dxa"/>
          </w:tcPr>
          <w:p w:rsidR="00EB3DDF" w:rsidRDefault="00EB3DDF" w:rsidP="00EB3DDF">
            <w:pPr>
              <w:jc w:val="right"/>
            </w:pPr>
          </w:p>
        </w:tc>
      </w:tr>
      <w:tr w:rsidR="00EB3DDF" w:rsidTr="00EB3DDF">
        <w:tc>
          <w:tcPr>
            <w:tcW w:w="2943" w:type="dxa"/>
          </w:tcPr>
          <w:p w:rsidR="00EB3DDF" w:rsidRDefault="00EB3DDF" w:rsidP="00121479">
            <w:pPr>
              <w:jc w:val="both"/>
            </w:pPr>
            <w:r>
              <w:t>Zysk netto (podatek 19%)</w:t>
            </w:r>
          </w:p>
        </w:tc>
        <w:tc>
          <w:tcPr>
            <w:tcW w:w="2089" w:type="dxa"/>
          </w:tcPr>
          <w:p w:rsidR="00EB3DDF" w:rsidRDefault="00EB3DDF" w:rsidP="00EB3DDF">
            <w:pPr>
              <w:jc w:val="right"/>
            </w:pPr>
            <w:r>
              <w:t>701 087,40</w:t>
            </w:r>
          </w:p>
        </w:tc>
        <w:tc>
          <w:tcPr>
            <w:tcW w:w="2090" w:type="dxa"/>
          </w:tcPr>
          <w:p w:rsidR="00EB3DDF" w:rsidRDefault="00EB3DDF" w:rsidP="00EB3DDF">
            <w:pPr>
              <w:jc w:val="right"/>
            </w:pPr>
            <w:r>
              <w:t>960 530,40</w:t>
            </w:r>
          </w:p>
        </w:tc>
        <w:tc>
          <w:tcPr>
            <w:tcW w:w="2090" w:type="dxa"/>
          </w:tcPr>
          <w:p w:rsidR="00EB3DDF" w:rsidRDefault="00EB3DDF" w:rsidP="00EB3DDF">
            <w:pPr>
              <w:jc w:val="right"/>
            </w:pPr>
            <w:r>
              <w:t>37,0%</w:t>
            </w:r>
          </w:p>
        </w:tc>
      </w:tr>
      <w:tr w:rsidR="00EB3DDF" w:rsidTr="00EB3DDF">
        <w:tc>
          <w:tcPr>
            <w:tcW w:w="2943" w:type="dxa"/>
          </w:tcPr>
          <w:p w:rsidR="00EB3DDF" w:rsidRDefault="00EB3DDF" w:rsidP="00121479">
            <w:pPr>
              <w:jc w:val="both"/>
            </w:pPr>
            <w:r>
              <w:t>Stan aktywów na 01.01</w:t>
            </w:r>
          </w:p>
        </w:tc>
        <w:tc>
          <w:tcPr>
            <w:tcW w:w="2089" w:type="dxa"/>
          </w:tcPr>
          <w:p w:rsidR="00EB3DDF" w:rsidRDefault="00EB3DDF" w:rsidP="00EB3DDF">
            <w:pPr>
              <w:jc w:val="right"/>
            </w:pPr>
            <w:r>
              <w:t>6 452 650,00</w:t>
            </w:r>
          </w:p>
        </w:tc>
        <w:tc>
          <w:tcPr>
            <w:tcW w:w="2090" w:type="dxa"/>
          </w:tcPr>
          <w:p w:rsidR="00EB3DDF" w:rsidRDefault="00EB3DDF" w:rsidP="00EB3DDF">
            <w:pPr>
              <w:jc w:val="right"/>
            </w:pPr>
            <w:r>
              <w:t>6 559 320,00</w:t>
            </w:r>
          </w:p>
        </w:tc>
        <w:tc>
          <w:tcPr>
            <w:tcW w:w="2090" w:type="dxa"/>
          </w:tcPr>
          <w:p w:rsidR="00EB3DDF" w:rsidRDefault="00EB3DDF" w:rsidP="00EB3DDF">
            <w:pPr>
              <w:jc w:val="right"/>
            </w:pPr>
          </w:p>
        </w:tc>
      </w:tr>
      <w:tr w:rsidR="00EB3DDF" w:rsidTr="00EB3DDF">
        <w:tc>
          <w:tcPr>
            <w:tcW w:w="2943" w:type="dxa"/>
          </w:tcPr>
          <w:p w:rsidR="00EB3DDF" w:rsidRDefault="00EB3DDF" w:rsidP="00121479">
            <w:pPr>
              <w:jc w:val="both"/>
            </w:pPr>
            <w:r>
              <w:t>Stan aktywów na 31.12</w:t>
            </w:r>
          </w:p>
        </w:tc>
        <w:tc>
          <w:tcPr>
            <w:tcW w:w="2089" w:type="dxa"/>
          </w:tcPr>
          <w:p w:rsidR="00EB3DDF" w:rsidRDefault="00EB3DDF" w:rsidP="00EB3DDF">
            <w:pPr>
              <w:jc w:val="right"/>
            </w:pPr>
            <w:r>
              <w:t>6 659 320,00</w:t>
            </w:r>
          </w:p>
        </w:tc>
        <w:tc>
          <w:tcPr>
            <w:tcW w:w="2090" w:type="dxa"/>
          </w:tcPr>
          <w:p w:rsidR="00EB3DDF" w:rsidRDefault="00EB3DDF" w:rsidP="00EB3DDF">
            <w:pPr>
              <w:jc w:val="right"/>
            </w:pPr>
            <w:r>
              <w:t>6 771 550,00</w:t>
            </w:r>
          </w:p>
        </w:tc>
        <w:tc>
          <w:tcPr>
            <w:tcW w:w="2090" w:type="dxa"/>
          </w:tcPr>
          <w:p w:rsidR="00EB3DDF" w:rsidRDefault="00EB3DDF" w:rsidP="00EB3DDF">
            <w:pPr>
              <w:jc w:val="right"/>
            </w:pPr>
          </w:p>
        </w:tc>
      </w:tr>
      <w:tr w:rsidR="00EB3DDF" w:rsidTr="00EB3DDF">
        <w:tc>
          <w:tcPr>
            <w:tcW w:w="2943" w:type="dxa"/>
          </w:tcPr>
          <w:p w:rsidR="00EB3DDF" w:rsidRDefault="00EB3DDF" w:rsidP="00121479">
            <w:pPr>
              <w:jc w:val="both"/>
            </w:pPr>
            <w:r>
              <w:t>Średni stan aktywów</w:t>
            </w:r>
          </w:p>
        </w:tc>
        <w:tc>
          <w:tcPr>
            <w:tcW w:w="2089" w:type="dxa"/>
          </w:tcPr>
          <w:p w:rsidR="00EB3DDF" w:rsidRDefault="00EB3DDF" w:rsidP="00EB3DDF">
            <w:pPr>
              <w:jc w:val="right"/>
            </w:pPr>
            <w:r>
              <w:t>6 555 985,00</w:t>
            </w:r>
          </w:p>
        </w:tc>
        <w:tc>
          <w:tcPr>
            <w:tcW w:w="2090" w:type="dxa"/>
          </w:tcPr>
          <w:p w:rsidR="00EB3DDF" w:rsidRDefault="00EB3DDF" w:rsidP="00EB3DDF">
            <w:pPr>
              <w:jc w:val="right"/>
            </w:pPr>
            <w:r>
              <w:t>6 665 435,00</w:t>
            </w:r>
          </w:p>
        </w:tc>
        <w:tc>
          <w:tcPr>
            <w:tcW w:w="2090" w:type="dxa"/>
          </w:tcPr>
          <w:p w:rsidR="00EB3DDF" w:rsidRDefault="00EB3DDF" w:rsidP="00EB3DDF">
            <w:pPr>
              <w:jc w:val="right"/>
            </w:pPr>
            <w:r>
              <w:t>16,7%</w:t>
            </w:r>
          </w:p>
        </w:tc>
      </w:tr>
      <w:tr w:rsidR="00EB3DDF" w:rsidTr="00EB3DDF">
        <w:tc>
          <w:tcPr>
            <w:tcW w:w="2943" w:type="dxa"/>
          </w:tcPr>
          <w:p w:rsidR="00EB3DDF" w:rsidRDefault="00EB3DDF" w:rsidP="00121479">
            <w:pPr>
              <w:jc w:val="both"/>
            </w:pPr>
            <w:r>
              <w:t>Stopa zwrotu aktywów (ROA)</w:t>
            </w:r>
          </w:p>
        </w:tc>
        <w:tc>
          <w:tcPr>
            <w:tcW w:w="2089" w:type="dxa"/>
          </w:tcPr>
          <w:p w:rsidR="00EB3DDF" w:rsidRDefault="00EB3DDF" w:rsidP="00EB3DDF">
            <w:pPr>
              <w:jc w:val="right"/>
            </w:pPr>
            <w:r>
              <w:t>10,70%</w:t>
            </w:r>
          </w:p>
        </w:tc>
        <w:tc>
          <w:tcPr>
            <w:tcW w:w="2090" w:type="dxa"/>
          </w:tcPr>
          <w:p w:rsidR="00EB3DDF" w:rsidRDefault="00EB3DDF" w:rsidP="00EB3DDF">
            <w:pPr>
              <w:jc w:val="right"/>
            </w:pPr>
            <w:r>
              <w:t>14,40%</w:t>
            </w:r>
          </w:p>
        </w:tc>
        <w:tc>
          <w:tcPr>
            <w:tcW w:w="2090" w:type="dxa"/>
          </w:tcPr>
          <w:p w:rsidR="00EB3DDF" w:rsidRDefault="00EB3DDF" w:rsidP="00EB3DDF">
            <w:pPr>
              <w:jc w:val="right"/>
            </w:pPr>
            <w:r>
              <w:t>34,6%</w:t>
            </w:r>
          </w:p>
        </w:tc>
      </w:tr>
    </w:tbl>
    <w:p w:rsidR="00EB3DDF" w:rsidRDefault="00EB3DDF" w:rsidP="00121479">
      <w:pPr>
        <w:spacing w:after="0" w:line="240" w:lineRule="auto"/>
        <w:jc w:val="both"/>
      </w:pPr>
      <w:r>
        <w:t>Wzrost średniej wartości aktywów o ponad 16% oraz ponad 37% wzrost zysku przyniósł prawie 35% poprawę stopy zwrotu z aktywów.</w:t>
      </w:r>
    </w:p>
    <w:p w:rsidR="009D2249" w:rsidRDefault="009D2249" w:rsidP="00121479">
      <w:pPr>
        <w:spacing w:after="0" w:line="240" w:lineRule="auto"/>
        <w:jc w:val="both"/>
      </w:pPr>
    </w:p>
    <w:p w:rsidR="009D2249" w:rsidRDefault="009D2249" w:rsidP="00121479">
      <w:pPr>
        <w:spacing w:after="0" w:line="240" w:lineRule="auto"/>
        <w:jc w:val="both"/>
      </w:pPr>
      <w:r>
        <w:t>Ze wskaźnikiem ROA wiążą się ściśle dwa inne wskaźniki obrazujące jakość zarządzania aktywami: stopa zwrotu kapitału zainwestowanego ROI oraz stopa zwrotu kapitału własnego ROE.</w:t>
      </w:r>
    </w:p>
    <w:p w:rsidR="009D2249" w:rsidRDefault="009D2249" w:rsidP="00121479">
      <w:pPr>
        <w:spacing w:after="0" w:line="240" w:lineRule="auto"/>
        <w:jc w:val="both"/>
      </w:pPr>
    </w:p>
    <w:p w:rsidR="002A4CD8" w:rsidRDefault="009D2249" w:rsidP="00121479">
      <w:pPr>
        <w:spacing w:after="0" w:line="240" w:lineRule="auto"/>
        <w:jc w:val="both"/>
      </w:pPr>
      <w:r w:rsidRPr="009D2249">
        <w:rPr>
          <w:u w:val="single"/>
        </w:rPr>
        <w:t>Rentowność kapitału</w:t>
      </w:r>
      <w:r>
        <w:t xml:space="preserve"> określa stopę zwrotu od zaangażowanego kapitału w przedsiębiorstwo.</w:t>
      </w:r>
      <w:r w:rsidR="002A4CD8">
        <w:t xml:space="preserve"> Jest miarą efektywności działalności przedsiębiorstwa w przeliczeniu na jednostkę zaangażowanego kapitału.</w:t>
      </w:r>
    </w:p>
    <w:p w:rsidR="002A4CD8" w:rsidRDefault="002A4CD8" w:rsidP="00121479">
      <w:pPr>
        <w:spacing w:after="0" w:line="240" w:lineRule="auto"/>
        <w:jc w:val="both"/>
      </w:pPr>
    </w:p>
    <w:p w:rsidR="009D2249" w:rsidRDefault="009D2249" w:rsidP="00121479">
      <w:pPr>
        <w:spacing w:after="0" w:line="240" w:lineRule="auto"/>
        <w:jc w:val="both"/>
      </w:pPr>
    </w:p>
    <w:p w:rsidR="002A4CD8" w:rsidRPr="008E0765" w:rsidRDefault="002A4CD8" w:rsidP="00121479">
      <w:pPr>
        <w:spacing w:after="0" w:line="240" w:lineRule="auto"/>
        <w:jc w:val="both"/>
        <w:rPr>
          <w:rFonts w:eastAsiaTheme="minorEastAsia"/>
        </w:rPr>
      </w:pPr>
      <m:oMathPara>
        <m:oMath>
          <m:r>
            <w:rPr>
              <w:rFonts w:ascii="Cambria Math" w:hAnsi="Cambria Math"/>
            </w:rPr>
            <m:t xml:space="preserve">ROE rentowność kapitału własnego = </m:t>
          </m:r>
          <m:f>
            <m:fPr>
              <m:ctrlPr>
                <w:rPr>
                  <w:rFonts w:ascii="Cambria Math" w:hAnsi="Cambria Math"/>
                  <w:i/>
                </w:rPr>
              </m:ctrlPr>
            </m:fPr>
            <m:num>
              <m:r>
                <w:rPr>
                  <w:rFonts w:ascii="Cambria Math" w:hAnsi="Cambria Math"/>
                </w:rPr>
                <m:t>zysk netto</m:t>
              </m:r>
            </m:num>
            <m:den>
              <m:r>
                <w:rPr>
                  <w:rFonts w:ascii="Cambria Math" w:hAnsi="Cambria Math"/>
                </w:rPr>
                <m:t>średni stan kapitału własnego</m:t>
              </m:r>
            </m:den>
          </m:f>
          <m:r>
            <w:rPr>
              <w:rFonts w:ascii="Cambria Math" w:hAnsi="Cambria Math"/>
            </w:rPr>
            <m:t xml:space="preserve"> ×100%</m:t>
          </m:r>
        </m:oMath>
      </m:oMathPara>
    </w:p>
    <w:p w:rsidR="008E0765" w:rsidRDefault="008E0765" w:rsidP="00121479">
      <w:pPr>
        <w:spacing w:after="0" w:line="240" w:lineRule="auto"/>
        <w:jc w:val="both"/>
        <w:rPr>
          <w:rFonts w:eastAsiaTheme="minorEastAsia"/>
        </w:rPr>
      </w:pPr>
    </w:p>
    <w:p w:rsidR="008E0765" w:rsidRDefault="008E0765" w:rsidP="00121479">
      <w:pPr>
        <w:spacing w:after="0" w:line="240" w:lineRule="auto"/>
        <w:jc w:val="both"/>
        <w:rPr>
          <w:rFonts w:eastAsiaTheme="minorEastAsia"/>
        </w:rPr>
      </w:pPr>
      <w:r>
        <w:rPr>
          <w:rFonts w:eastAsiaTheme="minorEastAsia"/>
        </w:rPr>
        <w:t xml:space="preserve">Zaangażowany kapitał całkowity równy jest wartości aktywów przedsiębiorstwa (równość sum bilansowych aktywa = pasywa). Jeżeli w finansowanie aktywów są zaangażowane kapitały obce, wówczas rentowność kapitału własnego jest wyższa od rentowności kapitału całkowitego, gdyż wskaźnik określa relację zysku tylko do części kapitału całkowitego KW &lt; KC. Zaangażowanie kapitałów obcych w działalność przedsiębiorstwa może okazać się korzystne, jeżeli osiągnięta stopa </w:t>
      </w:r>
      <w:r>
        <w:rPr>
          <w:rFonts w:eastAsiaTheme="minorEastAsia"/>
        </w:rPr>
        <w:lastRenderedPageBreak/>
        <w:t xml:space="preserve">zwrotu kapitału całkowitego jest wyższa niż stopa procentowa kredytu. Zjawisko to zwane jest „dźwignią finansową”. </w:t>
      </w:r>
    </w:p>
    <w:p w:rsidR="008E0765" w:rsidRDefault="008E0765" w:rsidP="00121479">
      <w:pPr>
        <w:spacing w:after="0" w:line="240" w:lineRule="auto"/>
        <w:jc w:val="both"/>
        <w:rPr>
          <w:rFonts w:eastAsiaTheme="minorEastAsia"/>
        </w:rPr>
      </w:pPr>
      <w:r>
        <w:rPr>
          <w:rFonts w:eastAsiaTheme="minorEastAsia"/>
        </w:rPr>
        <w:t>Analizę czynników operacyjnych w zarządzaniu logistyką, kształtujących stopę zwrotu z kapitału własnego, można prześledzić na podstawie zależności przedstawiającej iloczyn rentowności aktywów i strukturę źródeł ich finansowania:</w:t>
      </w:r>
    </w:p>
    <w:p w:rsidR="008E0765" w:rsidRDefault="008E0765" w:rsidP="00121479">
      <w:pPr>
        <w:spacing w:after="0" w:line="240" w:lineRule="auto"/>
        <w:jc w:val="both"/>
        <w:rPr>
          <w:rFonts w:eastAsiaTheme="minorEastAsia"/>
        </w:rPr>
      </w:pPr>
    </w:p>
    <w:p w:rsidR="008E0765" w:rsidRDefault="008E0765" w:rsidP="00121479">
      <w:pPr>
        <w:spacing w:after="0" w:line="240" w:lineRule="auto"/>
        <w:jc w:val="both"/>
        <w:rPr>
          <w:rFonts w:eastAsiaTheme="minorEastAsia"/>
        </w:rPr>
      </w:pPr>
    </w:p>
    <w:p w:rsidR="008E0765" w:rsidRPr="005B453D" w:rsidRDefault="008E0765" w:rsidP="00121479">
      <w:pPr>
        <w:spacing w:after="0" w:line="240" w:lineRule="auto"/>
        <w:jc w:val="both"/>
        <w:rPr>
          <w:rFonts w:eastAsiaTheme="minorEastAsia"/>
        </w:rPr>
      </w:pPr>
      <m:oMathPara>
        <m:oMath>
          <m:r>
            <w:rPr>
              <w:rFonts w:ascii="Cambria Math" w:eastAsiaTheme="minorEastAsia" w:hAnsi="Cambria Math"/>
            </w:rPr>
            <m:t xml:space="preserve">ROE = </m:t>
          </m:r>
          <m:f>
            <m:fPr>
              <m:ctrlPr>
                <w:rPr>
                  <w:rFonts w:ascii="Cambria Math" w:eastAsiaTheme="minorEastAsia" w:hAnsi="Cambria Math"/>
                  <w:i/>
                </w:rPr>
              </m:ctrlPr>
            </m:fPr>
            <m:num>
              <m:r>
                <w:rPr>
                  <w:rFonts w:ascii="Cambria Math" w:eastAsiaTheme="minorEastAsia" w:hAnsi="Cambria Math"/>
                </w:rPr>
                <m:t>zysk netto</m:t>
              </m:r>
            </m:num>
            <m:den>
              <m:r>
                <w:rPr>
                  <w:rFonts w:ascii="Cambria Math" w:eastAsiaTheme="minorEastAsia" w:hAnsi="Cambria Math"/>
                </w:rPr>
                <m:t>średni stan aktywów ogółem</m:t>
              </m:r>
            </m:den>
          </m:f>
          <m:r>
            <w:rPr>
              <w:rFonts w:ascii="Cambria Math" w:eastAsiaTheme="minorEastAsia" w:hAnsi="Cambria Math"/>
            </w:rPr>
            <m:t xml:space="preserve"> × </m:t>
          </m:r>
          <m:f>
            <m:fPr>
              <m:ctrlPr>
                <w:rPr>
                  <w:rFonts w:ascii="Cambria Math" w:eastAsiaTheme="minorEastAsia" w:hAnsi="Cambria Math"/>
                  <w:i/>
                </w:rPr>
              </m:ctrlPr>
            </m:fPr>
            <m:num>
              <m:r>
                <w:rPr>
                  <w:rFonts w:ascii="Cambria Math" w:eastAsiaTheme="minorEastAsia" w:hAnsi="Cambria Math"/>
                </w:rPr>
                <m:t>średni stan aktywów ogółem</m:t>
              </m:r>
            </m:num>
            <m:den>
              <m:r>
                <w:rPr>
                  <w:rFonts w:ascii="Cambria Math" w:eastAsiaTheme="minorEastAsia" w:hAnsi="Cambria Math"/>
                </w:rPr>
                <m:t>średni stan kapitału własnego</m:t>
              </m:r>
            </m:den>
          </m:f>
        </m:oMath>
      </m:oMathPara>
    </w:p>
    <w:p w:rsidR="005B453D" w:rsidRDefault="005B453D" w:rsidP="00121479">
      <w:pPr>
        <w:spacing w:after="0" w:line="240" w:lineRule="auto"/>
        <w:jc w:val="both"/>
        <w:rPr>
          <w:rFonts w:eastAsiaTheme="minorEastAsia"/>
        </w:rPr>
      </w:pPr>
    </w:p>
    <w:p w:rsidR="005B453D" w:rsidRDefault="005B453D" w:rsidP="00121479">
      <w:pPr>
        <w:spacing w:after="0" w:line="240" w:lineRule="auto"/>
        <w:jc w:val="both"/>
        <w:rPr>
          <w:rFonts w:eastAsiaTheme="minorEastAsia"/>
        </w:rPr>
      </w:pPr>
      <w:r>
        <w:rPr>
          <w:rFonts w:eastAsiaTheme="minorEastAsia"/>
        </w:rPr>
        <w:t>Wartość wskaźnika zależy od efektywności wykorzystania majątku mierzonej w relacji wygospodarowanego zysku do wartości zarządzanych i dysponowanych aktywów. Wartość wskaźnika zależy także od poziomu zaangażowania kapitałów własnych w finansowaniu aktywów (analiza piramidalna).</w:t>
      </w:r>
    </w:p>
    <w:p w:rsidR="005B453D" w:rsidRDefault="005B453D"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Default="003B37CB" w:rsidP="00121479">
      <w:pPr>
        <w:spacing w:after="0" w:line="240" w:lineRule="auto"/>
        <w:jc w:val="both"/>
        <w:rPr>
          <w:rFonts w:eastAsiaTheme="minorEastAsia"/>
        </w:rPr>
      </w:pPr>
    </w:p>
    <w:p w:rsidR="003B37CB" w:rsidRPr="003B37CB" w:rsidRDefault="003B37CB" w:rsidP="003B37CB">
      <w:pPr>
        <w:spacing w:after="0" w:line="240" w:lineRule="auto"/>
        <w:jc w:val="center"/>
        <w:rPr>
          <w:rFonts w:eastAsiaTheme="minorEastAsia"/>
          <w:b/>
        </w:rPr>
      </w:pPr>
      <w:r w:rsidRPr="003B37CB">
        <w:rPr>
          <w:rFonts w:eastAsiaTheme="minorEastAsia"/>
          <w:b/>
        </w:rPr>
        <w:lastRenderedPageBreak/>
        <w:t>BEZPOŚREDNIA RENTOWNOŚĆ PRODUKTU</w:t>
      </w:r>
      <w:r w:rsidR="00D475DC">
        <w:rPr>
          <w:rStyle w:val="Odwoanieprzypisudolnego"/>
          <w:rFonts w:eastAsiaTheme="minorEastAsia"/>
          <w:b/>
        </w:rPr>
        <w:footnoteReference w:id="1"/>
      </w:r>
    </w:p>
    <w:p w:rsidR="003B37CB" w:rsidRDefault="003B37CB" w:rsidP="00121479">
      <w:pPr>
        <w:spacing w:after="0" w:line="240" w:lineRule="auto"/>
        <w:jc w:val="both"/>
        <w:rPr>
          <w:rFonts w:eastAsiaTheme="minorEastAsia"/>
        </w:rPr>
      </w:pPr>
    </w:p>
    <w:p w:rsidR="0012421D" w:rsidRDefault="005B453D" w:rsidP="00121479">
      <w:pPr>
        <w:spacing w:after="0" w:line="240" w:lineRule="auto"/>
        <w:jc w:val="both"/>
        <w:rPr>
          <w:rFonts w:eastAsiaTheme="minorEastAsia"/>
        </w:rPr>
      </w:pPr>
      <w:r>
        <w:rPr>
          <w:rFonts w:eastAsiaTheme="minorEastAsia"/>
        </w:rPr>
        <w:t xml:space="preserve">Ważnym obszarem analizy wpływu zarządzania logistyką na wynik przedsiębiorstwa jest </w:t>
      </w:r>
      <w:r w:rsidR="003B37CB">
        <w:rPr>
          <w:rFonts w:eastAsiaTheme="minorEastAsia"/>
        </w:rPr>
        <w:t xml:space="preserve">także </w:t>
      </w:r>
      <w:r>
        <w:rPr>
          <w:rFonts w:eastAsiaTheme="minorEastAsia"/>
        </w:rPr>
        <w:t xml:space="preserve">analiza rentowności produktu, klienta czy kanału dystrybucji. </w:t>
      </w:r>
      <w:r w:rsidR="0012421D">
        <w:rPr>
          <w:rFonts w:eastAsiaTheme="minorEastAsia"/>
        </w:rPr>
        <w:t xml:space="preserve">Metoda ta zyskała powszechną akceptację, zwłaszcza w branży detalicznej. </w:t>
      </w:r>
    </w:p>
    <w:p w:rsidR="0012421D" w:rsidRDefault="0012421D" w:rsidP="00121479">
      <w:pPr>
        <w:spacing w:after="0" w:line="240" w:lineRule="auto"/>
        <w:jc w:val="both"/>
        <w:rPr>
          <w:rFonts w:eastAsiaTheme="minorEastAsia"/>
        </w:rPr>
      </w:pPr>
    </w:p>
    <w:p w:rsidR="00EB1A78" w:rsidRDefault="0012421D" w:rsidP="00121479">
      <w:pPr>
        <w:spacing w:after="0" w:line="240" w:lineRule="auto"/>
        <w:jc w:val="both"/>
        <w:rPr>
          <w:rFonts w:eastAsiaTheme="minorEastAsia"/>
        </w:rPr>
      </w:pPr>
      <w:r>
        <w:rPr>
          <w:rFonts w:eastAsiaTheme="minorEastAsia"/>
        </w:rPr>
        <w:t xml:space="preserve">Celem </w:t>
      </w:r>
      <w:r w:rsidR="009319D6" w:rsidRPr="00E67ED7">
        <w:rPr>
          <w:rFonts w:eastAsiaTheme="minorEastAsia"/>
          <w:u w:val="single"/>
        </w:rPr>
        <w:t>rentowności bezpośredniej produktu DPP</w:t>
      </w:r>
      <w:r w:rsidR="009319D6">
        <w:rPr>
          <w:rFonts w:eastAsiaTheme="minorEastAsia"/>
        </w:rPr>
        <w:t xml:space="preserve"> (Direct Product Profitability) jest identyfikacja </w:t>
      </w:r>
      <w:r>
        <w:rPr>
          <w:rFonts w:eastAsiaTheme="minorEastAsia"/>
        </w:rPr>
        <w:t>wszystkich</w:t>
      </w:r>
      <w:r w:rsidR="009319D6">
        <w:rPr>
          <w:rFonts w:eastAsiaTheme="minorEastAsia"/>
        </w:rPr>
        <w:t xml:space="preserve"> kosztów realizowanych procesów w kolejnych etapach przepływu ładunku w łańcuchu dostaw (kosztów manipulacji, magazynowania, spedycji i transportu). </w:t>
      </w:r>
      <w:r>
        <w:rPr>
          <w:rFonts w:eastAsiaTheme="minorEastAsia"/>
        </w:rPr>
        <w:t>Koncepcja bezpośredniej zyskowności produktu opiera się na założeniu, że w wielu transakcjach klient powoduje powstanie kosztów różnych od ceny jaką płaci za produkt. Czasem koszty te są ukryte, ale ich wysokość może być tak znaczna, że zmniejsza lub całkowicie równoważy zysk netto płynący ze sprzedaży tego produktu</w:t>
      </w:r>
      <w:r w:rsidR="009319D6">
        <w:rPr>
          <w:rFonts w:eastAsiaTheme="minorEastAsia"/>
        </w:rPr>
        <w:t xml:space="preserve">. </w:t>
      </w:r>
      <w:r>
        <w:rPr>
          <w:rFonts w:eastAsiaTheme="minorEastAsia"/>
        </w:rPr>
        <w:t xml:space="preserve">Dostawca powinien pamiętać, że koszty dostawy i bezpośrednia zyskowność produktu zależą od kosztów, które pojawiają się w miarę, jak produkt wędruje przez </w:t>
      </w:r>
      <w:r w:rsidR="00EB1A78">
        <w:rPr>
          <w:rFonts w:eastAsiaTheme="minorEastAsia"/>
        </w:rPr>
        <w:t>kolejne etapy systemu logistycznego.</w:t>
      </w:r>
      <w:r>
        <w:rPr>
          <w:rFonts w:eastAsiaTheme="minorEastAsia"/>
        </w:rPr>
        <w:t xml:space="preserve">                                           </w:t>
      </w:r>
    </w:p>
    <w:p w:rsidR="00EB1A78" w:rsidRDefault="00EB1A78" w:rsidP="00121479">
      <w:pPr>
        <w:spacing w:after="0" w:line="240" w:lineRule="auto"/>
        <w:jc w:val="both"/>
        <w:rPr>
          <w:rFonts w:eastAsiaTheme="minorEastAsia"/>
        </w:rPr>
      </w:pPr>
    </w:p>
    <w:p w:rsidR="003B0E5F" w:rsidRDefault="009319D6" w:rsidP="00121479">
      <w:pPr>
        <w:spacing w:after="0" w:line="240" w:lineRule="auto"/>
        <w:jc w:val="both"/>
        <w:rPr>
          <w:rFonts w:eastAsiaTheme="minorEastAsia"/>
        </w:rPr>
      </w:pPr>
      <w:r>
        <w:rPr>
          <w:rFonts w:eastAsiaTheme="minorEastAsia"/>
        </w:rPr>
        <w:t>Konsekwencją analizy rentowności produktów i klientów (poszczególnych rynków sprzedaży) jest określenie najbardziej zyskownej oferty sprzedaży</w:t>
      </w:r>
      <w:r w:rsidR="003B0E5F">
        <w:rPr>
          <w:rFonts w:eastAsiaTheme="minorEastAsia"/>
        </w:rPr>
        <w:t>, budowanie kanałów dystrybucji do najbardziej zyskownych grup odbiorców, a także wskazanie metod poprawy rentowności aktywów łańcucha dostaw.</w:t>
      </w:r>
    </w:p>
    <w:p w:rsidR="003B0E5F" w:rsidRDefault="003B0E5F" w:rsidP="00121479">
      <w:pPr>
        <w:spacing w:after="0" w:line="240" w:lineRule="auto"/>
        <w:jc w:val="both"/>
        <w:rPr>
          <w:rFonts w:eastAsiaTheme="minorEastAsia"/>
        </w:rPr>
      </w:pPr>
    </w:p>
    <w:p w:rsidR="00EB1A78" w:rsidRDefault="00EB1A78" w:rsidP="00121479">
      <w:pPr>
        <w:spacing w:after="0" w:line="240" w:lineRule="auto"/>
        <w:jc w:val="both"/>
        <w:rPr>
          <w:rFonts w:eastAsiaTheme="minorEastAsia"/>
        </w:rPr>
      </w:pPr>
      <w:r>
        <w:rPr>
          <w:rFonts w:eastAsiaTheme="minorEastAsia"/>
        </w:rPr>
        <w:t>DPP oznacza wkład w zyski przedsiębiorstwa, jakie przynosi określony produkt, co oblicza się poprzez:</w:t>
      </w:r>
    </w:p>
    <w:p w:rsidR="00EB1A78" w:rsidRDefault="00EB1A78" w:rsidP="00EB1A78">
      <w:pPr>
        <w:pStyle w:val="Akapitzlist"/>
        <w:numPr>
          <w:ilvl w:val="0"/>
          <w:numId w:val="19"/>
        </w:numPr>
        <w:spacing w:after="0" w:line="240" w:lineRule="auto"/>
        <w:jc w:val="both"/>
        <w:rPr>
          <w:rFonts w:eastAsiaTheme="minorEastAsia"/>
        </w:rPr>
      </w:pPr>
      <w:r>
        <w:rPr>
          <w:rFonts w:eastAsiaTheme="minorEastAsia"/>
        </w:rPr>
        <w:t>dostosowanie marży brutto do każdego produktu, tak by odzwierciedlała ona warunki umowy</w:t>
      </w:r>
      <w:r w:rsidR="00D475DC">
        <w:rPr>
          <w:rFonts w:eastAsiaTheme="minorEastAsia"/>
        </w:rPr>
        <w:t>, potrącenia, rabaty,</w:t>
      </w:r>
    </w:p>
    <w:p w:rsidR="00D475DC" w:rsidRDefault="00D475DC" w:rsidP="00EB1A78">
      <w:pPr>
        <w:pStyle w:val="Akapitzlist"/>
        <w:numPr>
          <w:ilvl w:val="0"/>
          <w:numId w:val="19"/>
        </w:numPr>
        <w:spacing w:after="0" w:line="240" w:lineRule="auto"/>
        <w:jc w:val="both"/>
        <w:rPr>
          <w:rFonts w:eastAsiaTheme="minorEastAsia"/>
        </w:rPr>
      </w:pPr>
      <w:r>
        <w:rPr>
          <w:rFonts w:eastAsiaTheme="minorEastAsia"/>
        </w:rPr>
        <w:t>określenie i zbadanie kosztów, które można bezpośrednio przypisać konkretnemu produktowi.</w:t>
      </w:r>
    </w:p>
    <w:p w:rsidR="00D475DC" w:rsidRPr="00D475DC" w:rsidRDefault="00D475DC" w:rsidP="00D475DC">
      <w:pPr>
        <w:spacing w:after="0" w:line="240" w:lineRule="auto"/>
        <w:jc w:val="both"/>
        <w:rPr>
          <w:rFonts w:eastAsiaTheme="minorEastAsia"/>
        </w:rPr>
      </w:pPr>
    </w:p>
    <w:p w:rsidR="005B453D" w:rsidRDefault="003B0E5F" w:rsidP="003B0E5F">
      <w:pPr>
        <w:pStyle w:val="Akapitzlist"/>
        <w:numPr>
          <w:ilvl w:val="0"/>
          <w:numId w:val="8"/>
        </w:numPr>
        <w:spacing w:after="0" w:line="240" w:lineRule="auto"/>
        <w:jc w:val="both"/>
        <w:rPr>
          <w:rFonts w:eastAsiaTheme="minorEastAsia"/>
        </w:rPr>
      </w:pPr>
      <w:r>
        <w:rPr>
          <w:rFonts w:eastAsiaTheme="minorEastAsia"/>
        </w:rPr>
        <w:t>Przychody ze sprzedaży brutto</w:t>
      </w:r>
    </w:p>
    <w:p w:rsidR="003B0E5F" w:rsidRDefault="003B0E5F" w:rsidP="003B0E5F">
      <w:pPr>
        <w:pStyle w:val="Akapitzlist"/>
        <w:numPr>
          <w:ilvl w:val="0"/>
          <w:numId w:val="8"/>
        </w:numPr>
        <w:spacing w:after="0" w:line="240" w:lineRule="auto"/>
        <w:jc w:val="both"/>
        <w:rPr>
          <w:rFonts w:eastAsiaTheme="minorEastAsia"/>
        </w:rPr>
      </w:pPr>
      <w:r>
        <w:rPr>
          <w:rFonts w:eastAsiaTheme="minorEastAsia"/>
        </w:rPr>
        <w:t>Materiały do produkcji</w:t>
      </w:r>
    </w:p>
    <w:p w:rsidR="003B0E5F" w:rsidRDefault="003B0E5F" w:rsidP="003B0E5F">
      <w:pPr>
        <w:pStyle w:val="Akapitzlist"/>
        <w:numPr>
          <w:ilvl w:val="0"/>
          <w:numId w:val="8"/>
        </w:numPr>
        <w:spacing w:after="0" w:line="240" w:lineRule="auto"/>
        <w:jc w:val="both"/>
        <w:rPr>
          <w:rFonts w:eastAsiaTheme="minorEastAsia"/>
        </w:rPr>
      </w:pPr>
      <w:r>
        <w:rPr>
          <w:rFonts w:eastAsiaTheme="minorEastAsia"/>
        </w:rPr>
        <w:t>Płace bezpośrednio produkcyjne (w łańcuchu dostaw)</w:t>
      </w:r>
    </w:p>
    <w:p w:rsidR="003B0E5F" w:rsidRDefault="003B0E5F" w:rsidP="003B0E5F">
      <w:pPr>
        <w:pStyle w:val="Akapitzlist"/>
        <w:numPr>
          <w:ilvl w:val="0"/>
          <w:numId w:val="8"/>
        </w:numPr>
        <w:spacing w:after="0" w:line="240" w:lineRule="auto"/>
        <w:jc w:val="both"/>
        <w:rPr>
          <w:rFonts w:eastAsiaTheme="minorEastAsia"/>
        </w:rPr>
      </w:pPr>
      <w:r>
        <w:rPr>
          <w:rFonts w:eastAsiaTheme="minorEastAsia"/>
        </w:rPr>
        <w:t>Koszty energii</w:t>
      </w:r>
    </w:p>
    <w:p w:rsidR="003B0E5F" w:rsidRDefault="003B0E5F" w:rsidP="003B0E5F">
      <w:pPr>
        <w:pStyle w:val="Akapitzlist"/>
        <w:numPr>
          <w:ilvl w:val="0"/>
          <w:numId w:val="8"/>
        </w:numPr>
        <w:spacing w:after="0" w:line="240" w:lineRule="auto"/>
        <w:jc w:val="both"/>
        <w:rPr>
          <w:rFonts w:eastAsiaTheme="minorEastAsia"/>
        </w:rPr>
      </w:pPr>
      <w:r>
        <w:rPr>
          <w:rFonts w:eastAsiaTheme="minorEastAsia"/>
        </w:rPr>
        <w:t>Koszty frachtu</w:t>
      </w:r>
    </w:p>
    <w:p w:rsidR="003B0E5F" w:rsidRDefault="00A91A98" w:rsidP="003B0E5F">
      <w:pPr>
        <w:pStyle w:val="Akapitzlist"/>
        <w:numPr>
          <w:ilvl w:val="0"/>
          <w:numId w:val="8"/>
        </w:numPr>
        <w:spacing w:after="0" w:line="240" w:lineRule="auto"/>
        <w:jc w:val="both"/>
        <w:rPr>
          <w:rFonts w:eastAsiaTheme="minorEastAsia"/>
        </w:rPr>
      </w:pPr>
      <w:r>
        <w:rPr>
          <w:rFonts w:eastAsiaTheme="minorEastAsia"/>
        </w:rPr>
        <w:t>Koszty manipulacji i pakowania</w:t>
      </w:r>
    </w:p>
    <w:p w:rsidR="00A91A98" w:rsidRDefault="00A91A98" w:rsidP="003B0E5F">
      <w:pPr>
        <w:pStyle w:val="Akapitzlist"/>
        <w:numPr>
          <w:ilvl w:val="0"/>
          <w:numId w:val="8"/>
        </w:numPr>
        <w:spacing w:after="0" w:line="240" w:lineRule="auto"/>
        <w:jc w:val="both"/>
        <w:rPr>
          <w:rFonts w:eastAsiaTheme="minorEastAsia"/>
        </w:rPr>
      </w:pPr>
      <w:r>
        <w:rPr>
          <w:rFonts w:eastAsiaTheme="minorEastAsia"/>
        </w:rPr>
        <w:t>Prowizje i opłaty</w:t>
      </w:r>
    </w:p>
    <w:p w:rsidR="00A91A98" w:rsidRDefault="00A91A98" w:rsidP="003B0E5F">
      <w:pPr>
        <w:pStyle w:val="Akapitzlist"/>
        <w:numPr>
          <w:ilvl w:val="0"/>
          <w:numId w:val="8"/>
        </w:numPr>
        <w:spacing w:after="0" w:line="240" w:lineRule="auto"/>
        <w:jc w:val="both"/>
        <w:rPr>
          <w:rFonts w:eastAsiaTheme="minorEastAsia"/>
        </w:rPr>
      </w:pPr>
      <w:r>
        <w:rPr>
          <w:rFonts w:eastAsiaTheme="minorEastAsia"/>
        </w:rPr>
        <w:t>Usługi obce</w:t>
      </w:r>
    </w:p>
    <w:p w:rsidR="00A91A98" w:rsidRDefault="00A91A98" w:rsidP="003B0E5F">
      <w:pPr>
        <w:pStyle w:val="Akapitzlist"/>
        <w:numPr>
          <w:ilvl w:val="0"/>
          <w:numId w:val="8"/>
        </w:numPr>
        <w:spacing w:after="0" w:line="240" w:lineRule="auto"/>
        <w:jc w:val="both"/>
        <w:rPr>
          <w:rFonts w:eastAsiaTheme="minorEastAsia"/>
        </w:rPr>
      </w:pPr>
      <w:r>
        <w:rPr>
          <w:rFonts w:eastAsiaTheme="minorEastAsia"/>
        </w:rPr>
        <w:t>Materiały pomocnicze</w:t>
      </w:r>
    </w:p>
    <w:p w:rsidR="00A91A98" w:rsidRDefault="00A91A98" w:rsidP="003B0E5F">
      <w:pPr>
        <w:pStyle w:val="Akapitzlist"/>
        <w:numPr>
          <w:ilvl w:val="0"/>
          <w:numId w:val="8"/>
        </w:numPr>
        <w:spacing w:after="0" w:line="240" w:lineRule="auto"/>
        <w:jc w:val="both"/>
        <w:rPr>
          <w:rFonts w:eastAsiaTheme="minorEastAsia"/>
        </w:rPr>
      </w:pPr>
      <w:r>
        <w:rPr>
          <w:rFonts w:eastAsiaTheme="minorEastAsia"/>
        </w:rPr>
        <w:t>Zmiany zapasów</w:t>
      </w:r>
    </w:p>
    <w:p w:rsidR="00A91A98" w:rsidRDefault="00A91A98" w:rsidP="003B0E5F">
      <w:pPr>
        <w:pStyle w:val="Akapitzlist"/>
        <w:numPr>
          <w:ilvl w:val="0"/>
          <w:numId w:val="8"/>
        </w:numPr>
        <w:spacing w:after="0" w:line="240" w:lineRule="auto"/>
        <w:jc w:val="both"/>
        <w:rPr>
          <w:rFonts w:eastAsiaTheme="minorEastAsia"/>
        </w:rPr>
      </w:pPr>
      <w:r>
        <w:rPr>
          <w:rFonts w:eastAsiaTheme="minorEastAsia"/>
        </w:rPr>
        <w:t>Suma kosztów zmiennych bezpośrednich (2</w:t>
      </w:r>
      <w:r w:rsidR="008E6E77">
        <w:rPr>
          <w:rFonts w:eastAsiaTheme="minorEastAsia"/>
        </w:rPr>
        <w:t xml:space="preserve"> do 10)</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Marża brutto (1-11)</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Uszczuplenie przychodów (</w:t>
      </w:r>
      <w:r w:rsidR="00EB1A78">
        <w:rPr>
          <w:rFonts w:eastAsiaTheme="minorEastAsia"/>
        </w:rPr>
        <w:t xml:space="preserve">potrącenia i </w:t>
      </w:r>
      <w:r>
        <w:rPr>
          <w:rFonts w:eastAsiaTheme="minorEastAsia"/>
        </w:rPr>
        <w:t>system rabatów)</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Skorygowana marża brutto (12+13)</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Koszty stałe produkcji</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Koszty stałe transportu i spedycji</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Koszty stałe dystrybucji i sprzedaży</w:t>
      </w:r>
    </w:p>
    <w:p w:rsidR="008E6E77" w:rsidRDefault="008E6E77" w:rsidP="003B0E5F">
      <w:pPr>
        <w:pStyle w:val="Akapitzlist"/>
        <w:numPr>
          <w:ilvl w:val="0"/>
          <w:numId w:val="8"/>
        </w:numPr>
        <w:spacing w:after="0" w:line="240" w:lineRule="auto"/>
        <w:jc w:val="both"/>
        <w:rPr>
          <w:rFonts w:eastAsiaTheme="minorEastAsia"/>
        </w:rPr>
      </w:pPr>
      <w:r>
        <w:rPr>
          <w:rFonts w:eastAsiaTheme="minorEastAsia"/>
        </w:rPr>
        <w:t>Koszty ogólne (IT, zarząd, FK)</w:t>
      </w:r>
    </w:p>
    <w:p w:rsidR="00627C9B" w:rsidRDefault="008E6E77" w:rsidP="003B0E5F">
      <w:pPr>
        <w:pStyle w:val="Akapitzlist"/>
        <w:numPr>
          <w:ilvl w:val="0"/>
          <w:numId w:val="8"/>
        </w:numPr>
        <w:spacing w:after="0" w:line="240" w:lineRule="auto"/>
        <w:jc w:val="both"/>
        <w:rPr>
          <w:rFonts w:eastAsiaTheme="minorEastAsia"/>
        </w:rPr>
      </w:pPr>
      <w:r>
        <w:rPr>
          <w:rFonts w:eastAsiaTheme="minorEastAsia"/>
        </w:rPr>
        <w:t>Suma kosztów dystrybucji (15 do 18)</w:t>
      </w:r>
    </w:p>
    <w:p w:rsidR="008E6E77" w:rsidRPr="003B0E5F" w:rsidRDefault="00627C9B" w:rsidP="003B0E5F">
      <w:pPr>
        <w:pStyle w:val="Akapitzlist"/>
        <w:numPr>
          <w:ilvl w:val="0"/>
          <w:numId w:val="8"/>
        </w:numPr>
        <w:spacing w:after="0" w:line="240" w:lineRule="auto"/>
        <w:jc w:val="both"/>
        <w:rPr>
          <w:rFonts w:eastAsiaTheme="minorEastAsia"/>
        </w:rPr>
      </w:pPr>
      <w:r>
        <w:rPr>
          <w:rFonts w:eastAsiaTheme="minorEastAsia"/>
        </w:rPr>
        <w:t>DPP = (14-19)/1</w:t>
      </w:r>
      <w:r w:rsidR="008E6E77">
        <w:rPr>
          <w:rFonts w:eastAsiaTheme="minorEastAsia"/>
        </w:rPr>
        <w:t xml:space="preserve"> </w:t>
      </w:r>
    </w:p>
    <w:p w:rsidR="008E0765" w:rsidRDefault="008E0765" w:rsidP="00121479">
      <w:pPr>
        <w:spacing w:after="0" w:line="240" w:lineRule="auto"/>
        <w:jc w:val="both"/>
        <w:rPr>
          <w:rFonts w:eastAsiaTheme="minorEastAsia"/>
        </w:rPr>
      </w:pPr>
    </w:p>
    <w:p w:rsidR="00B83BCF" w:rsidRDefault="00B83BCF" w:rsidP="00AC551D">
      <w:pPr>
        <w:spacing w:after="0" w:line="240" w:lineRule="auto"/>
        <w:jc w:val="center"/>
        <w:rPr>
          <w:rFonts w:eastAsiaTheme="minorEastAsia"/>
          <w:b/>
        </w:rPr>
      </w:pPr>
    </w:p>
    <w:p w:rsidR="008E0765" w:rsidRPr="00AC551D" w:rsidRDefault="00AC551D" w:rsidP="00B83BCF">
      <w:pPr>
        <w:spacing w:after="0" w:line="240" w:lineRule="auto"/>
        <w:jc w:val="center"/>
        <w:rPr>
          <w:rFonts w:eastAsiaTheme="minorEastAsia"/>
          <w:b/>
        </w:rPr>
      </w:pPr>
      <w:r w:rsidRPr="00AC551D">
        <w:rPr>
          <w:rFonts w:eastAsiaTheme="minorEastAsia"/>
          <w:b/>
        </w:rPr>
        <w:lastRenderedPageBreak/>
        <w:t>WPŁYW ZARZĄDZANIA LOGISTYKĄ NA PŁYNNOŚĆ FINANSOWĄ PRZEDSIĘBIORSTWA</w:t>
      </w:r>
    </w:p>
    <w:p w:rsidR="00AC551D" w:rsidRDefault="00AC551D" w:rsidP="00121479">
      <w:pPr>
        <w:spacing w:after="0" w:line="240" w:lineRule="auto"/>
        <w:jc w:val="both"/>
        <w:rPr>
          <w:rFonts w:eastAsiaTheme="minorEastAsia"/>
        </w:rPr>
      </w:pPr>
    </w:p>
    <w:p w:rsidR="00AC551D" w:rsidRDefault="00AC551D" w:rsidP="00121479">
      <w:pPr>
        <w:spacing w:after="0" w:line="240" w:lineRule="auto"/>
        <w:jc w:val="both"/>
        <w:rPr>
          <w:rFonts w:eastAsiaTheme="minorEastAsia"/>
        </w:rPr>
      </w:pPr>
      <w:r>
        <w:rPr>
          <w:rFonts w:eastAsiaTheme="minorEastAsia"/>
        </w:rPr>
        <w:t xml:space="preserve">Ciągłość realizowanych procesów logistycznych zaopatrzenia, magazynowania, logistyki produkcji czy dystrybucji oraz bieżącego wykorzystania zasobów logistycznych wymaga zachowania płynności finansowej w działalności gospodarczej. Nie jest możliwa realizacja planu zaopatrzenia przedsiębiorstwa i zakupów w określonych terminach, jeżeli przedsiębiorstwo nie jest w stanie na bieżąco regulować zobowiązań w stosunku do dostawcy. Podobnym problemem byłyby spłaty kredytów krótkoterminowych zaciągniętych na uzupełnienie zapasów w przedsiębiorstwie, wymaganego dla </w:t>
      </w:r>
      <w:r w:rsidR="001A0137">
        <w:rPr>
          <w:rFonts w:eastAsiaTheme="minorEastAsia"/>
        </w:rPr>
        <w:t xml:space="preserve">ciągłości produkcji czy sprzedaży. </w:t>
      </w:r>
    </w:p>
    <w:p w:rsidR="005939A4" w:rsidRDefault="005939A4" w:rsidP="00121479">
      <w:pPr>
        <w:spacing w:after="0" w:line="240" w:lineRule="auto"/>
        <w:jc w:val="both"/>
        <w:rPr>
          <w:rFonts w:eastAsiaTheme="minorEastAsia"/>
          <w:u w:val="single"/>
        </w:rPr>
      </w:pPr>
    </w:p>
    <w:p w:rsidR="001A0137" w:rsidRDefault="001A0137" w:rsidP="00121479">
      <w:pPr>
        <w:spacing w:after="0" w:line="240" w:lineRule="auto"/>
        <w:jc w:val="both"/>
        <w:rPr>
          <w:rFonts w:eastAsiaTheme="minorEastAsia"/>
        </w:rPr>
      </w:pPr>
      <w:r w:rsidRPr="001A0137">
        <w:rPr>
          <w:rFonts w:eastAsiaTheme="minorEastAsia"/>
          <w:u w:val="single"/>
        </w:rPr>
        <w:t>Płynność finansowa</w:t>
      </w:r>
      <w:r>
        <w:rPr>
          <w:rFonts w:eastAsiaTheme="minorEastAsia"/>
        </w:rPr>
        <w:t xml:space="preserve"> przedsiębiorstwa to stopień pieniężnej gotowości jego aktywów do terminowego regulowania zobowiązań bieżących. Stan płynności mówi wiele o stabilności finansowej firmy. Analiza płynności finansowej może być przeprowadzona na podstawie:</w:t>
      </w:r>
    </w:p>
    <w:p w:rsidR="001A0137" w:rsidRDefault="001A0137" w:rsidP="001A0137">
      <w:pPr>
        <w:pStyle w:val="Akapitzlist"/>
        <w:numPr>
          <w:ilvl w:val="0"/>
          <w:numId w:val="9"/>
        </w:numPr>
        <w:spacing w:after="0" w:line="240" w:lineRule="auto"/>
        <w:jc w:val="both"/>
      </w:pPr>
      <w:r>
        <w:t>przepływów środków pieniężnych w okresie, za który sporządzono rachunek wyników,</w:t>
      </w:r>
    </w:p>
    <w:p w:rsidR="00781F53" w:rsidRDefault="001A0137" w:rsidP="001A0137">
      <w:pPr>
        <w:pStyle w:val="Akapitzlist"/>
        <w:numPr>
          <w:ilvl w:val="0"/>
          <w:numId w:val="9"/>
        </w:numPr>
        <w:spacing w:after="0" w:line="240" w:lineRule="auto"/>
        <w:jc w:val="both"/>
      </w:pPr>
      <w:r>
        <w:t>zasobów aktywów bieżących i zobowiązań bieżących.</w:t>
      </w:r>
    </w:p>
    <w:p w:rsidR="00781F53" w:rsidRDefault="00781F53" w:rsidP="00781F53">
      <w:pPr>
        <w:spacing w:after="0" w:line="240" w:lineRule="auto"/>
        <w:jc w:val="both"/>
      </w:pPr>
    </w:p>
    <w:p w:rsidR="001E6B6F" w:rsidRDefault="00781F53" w:rsidP="00781F53">
      <w:pPr>
        <w:spacing w:after="0" w:line="240" w:lineRule="auto"/>
        <w:jc w:val="both"/>
      </w:pPr>
      <w:r>
        <w:t>Do oceny płynności finansowej przedsiębiorstwa wykorzystywane są wskaźniki bazujące na statycznej sytuacji przedstawionej w bilansie przedsiębiorstwa na dany moment (np. bilans roczny)</w:t>
      </w:r>
      <w:r w:rsidR="001E6B6F">
        <w:t>:</w:t>
      </w:r>
    </w:p>
    <w:p w:rsidR="001A0137" w:rsidRDefault="001E6B6F" w:rsidP="001E6B6F">
      <w:pPr>
        <w:pStyle w:val="Akapitzlist"/>
        <w:numPr>
          <w:ilvl w:val="0"/>
          <w:numId w:val="10"/>
        </w:numPr>
        <w:spacing w:after="0" w:line="240" w:lineRule="auto"/>
        <w:jc w:val="both"/>
      </w:pPr>
      <w:r>
        <w:t>wskaźnik bieżącej płynności finansowej,</w:t>
      </w:r>
    </w:p>
    <w:p w:rsidR="001E6B6F" w:rsidRDefault="001E6B6F" w:rsidP="001E6B6F">
      <w:pPr>
        <w:pStyle w:val="Akapitzlist"/>
        <w:numPr>
          <w:ilvl w:val="0"/>
          <w:numId w:val="10"/>
        </w:numPr>
        <w:spacing w:after="0" w:line="240" w:lineRule="auto"/>
        <w:jc w:val="both"/>
      </w:pPr>
      <w:r>
        <w:t>wskaźnik szybkiej płynności finansowej,</w:t>
      </w:r>
    </w:p>
    <w:p w:rsidR="001E6B6F" w:rsidRDefault="001E6B6F" w:rsidP="001E6B6F">
      <w:pPr>
        <w:pStyle w:val="Akapitzlist"/>
        <w:numPr>
          <w:ilvl w:val="0"/>
          <w:numId w:val="10"/>
        </w:numPr>
        <w:spacing w:after="0" w:line="240" w:lineRule="auto"/>
        <w:jc w:val="both"/>
      </w:pPr>
      <w:r>
        <w:t>wskaźnik superszybkiej płynności finansowej.</w:t>
      </w:r>
    </w:p>
    <w:p w:rsidR="001E6B6F" w:rsidRDefault="001E6B6F" w:rsidP="001E6B6F">
      <w:pPr>
        <w:spacing w:after="0" w:line="240" w:lineRule="auto"/>
        <w:jc w:val="both"/>
      </w:pPr>
    </w:p>
    <w:p w:rsidR="001E6B6F" w:rsidRDefault="001E6B6F" w:rsidP="001E6B6F">
      <w:pPr>
        <w:spacing w:after="0" w:line="240" w:lineRule="auto"/>
        <w:jc w:val="both"/>
      </w:pPr>
      <w:r w:rsidRPr="00680DD5">
        <w:rPr>
          <w:u w:val="single"/>
        </w:rPr>
        <w:t>Wskaźnik bieżącej płynności finansowej</w:t>
      </w:r>
      <w:r>
        <w:t xml:space="preserve"> (III®)</w:t>
      </w:r>
      <w:r w:rsidR="008D2294">
        <w:t xml:space="preserve"> przedstawia zdolność przedsiębiorstwa do terminowego regulowania zobowiązań krótkoterminowych w oparciu o aktywa bieżące przedsiębiorstwa. Informuje czy przedsiębiorstwo może przy pomocy upłynnienia posiadanych aktywów obrotowych (zapasów, należności, rozliczeń międzyokresowych krótkoterminowych, papierów wartościowych i środków pieniężnych).</w:t>
      </w:r>
      <w:r w:rsidR="00680DD5">
        <w:t xml:space="preserve"> Teoretycznie im wyższy jest ten wskaźnik, tym korzystniej należy ocenić stopień wypłacalności.  Optymalne i bezpieczne wartości wskaźnika (wg literatury, wymagań banków) należą do przedziału 1,5-2,0. Wartości poniżej 1,2 mogą świadczyć </w:t>
      </w:r>
      <w:r w:rsidR="00EA79C3">
        <w:t xml:space="preserve">                </w:t>
      </w:r>
      <w:r w:rsidR="00680DD5">
        <w:t>o trudnościach w regulowaniu zobowiązań</w:t>
      </w:r>
      <w:r w:rsidR="00EA79C3">
        <w:t>, natomiast wartości powyżej 2,0 mogą świadczyć                       o zamrożeniu w aktywach nadmiernych środków obrotowych, czyli niedostatecznie efektywne wykorzystywanie wolnych zasobów majątkowych.</w:t>
      </w:r>
      <w:r w:rsidR="00680DD5">
        <w:t xml:space="preserve"> </w:t>
      </w:r>
    </w:p>
    <w:p w:rsidR="00CE23C6" w:rsidRDefault="00CE23C6" w:rsidP="001E6B6F">
      <w:pPr>
        <w:spacing w:after="0" w:line="240" w:lineRule="auto"/>
        <w:jc w:val="both"/>
      </w:pPr>
    </w:p>
    <w:p w:rsidR="00CE23C6" w:rsidRPr="00D21454" w:rsidRDefault="00CE23C6" w:rsidP="001E6B6F">
      <w:pPr>
        <w:spacing w:after="0" w:line="240" w:lineRule="auto"/>
        <w:jc w:val="both"/>
        <w:rPr>
          <w:rFonts w:eastAsiaTheme="minorEastAsia"/>
        </w:rPr>
      </w:pPr>
      <m:oMathPara>
        <m:oMath>
          <m:r>
            <w:rPr>
              <w:rFonts w:ascii="Cambria Math" w:hAnsi="Cambria Math"/>
            </w:rPr>
            <m:t xml:space="preserve">wskaźnik bieżącej płynności = </m:t>
          </m:r>
          <m:f>
            <m:fPr>
              <m:ctrlPr>
                <w:rPr>
                  <w:rFonts w:ascii="Cambria Math" w:hAnsi="Cambria Math"/>
                  <w:i/>
                </w:rPr>
              </m:ctrlPr>
            </m:fPr>
            <m:num>
              <m:r>
                <w:rPr>
                  <w:rFonts w:ascii="Cambria Math" w:hAnsi="Cambria Math"/>
                </w:rPr>
                <m:t>aktywa obrotowe</m:t>
              </m:r>
            </m:num>
            <m:den>
              <m:r>
                <w:rPr>
                  <w:rFonts w:ascii="Cambria Math" w:hAnsi="Cambria Math"/>
                </w:rPr>
                <m:t>zobowiazania bieżące</m:t>
              </m:r>
            </m:den>
          </m:f>
        </m:oMath>
      </m:oMathPara>
    </w:p>
    <w:p w:rsidR="00D21454" w:rsidRDefault="00D21454" w:rsidP="001E6B6F">
      <w:pPr>
        <w:spacing w:after="0" w:line="240" w:lineRule="auto"/>
        <w:jc w:val="both"/>
        <w:rPr>
          <w:rFonts w:eastAsiaTheme="minorEastAsia"/>
        </w:rPr>
      </w:pPr>
    </w:p>
    <w:p w:rsidR="00D21454" w:rsidRDefault="00D21454" w:rsidP="001E6B6F">
      <w:pPr>
        <w:spacing w:after="0" w:line="240" w:lineRule="auto"/>
        <w:jc w:val="both"/>
        <w:rPr>
          <w:rFonts w:eastAsiaTheme="minorEastAsia"/>
        </w:rPr>
      </w:pPr>
      <w:r>
        <w:rPr>
          <w:rFonts w:eastAsiaTheme="minorEastAsia"/>
        </w:rPr>
        <w:t xml:space="preserve">Poszczególne części aktywów bieżących </w:t>
      </w:r>
      <w:r w:rsidR="005B67DC">
        <w:rPr>
          <w:rFonts w:eastAsiaTheme="minorEastAsia"/>
        </w:rPr>
        <w:t>mają różny stopień płynności (np. zapasy i gotówka w kasie przedsiębiorstwa), tzn. szybkość zamiany na gotówkę. Zapasy mogą być jednak zalegające, trudno zbywalne, nadmierne i nie można ich traktować jako źródło możliwości</w:t>
      </w:r>
      <w:r w:rsidR="00B11D8E">
        <w:rPr>
          <w:rFonts w:eastAsiaTheme="minorEastAsia"/>
        </w:rPr>
        <w:t xml:space="preserve"> regulowania zobowiązań.               Z tego względu do oceny płynności finansowej stosowany jest </w:t>
      </w:r>
      <w:r w:rsidR="00B11D8E" w:rsidRPr="00B11D8E">
        <w:rPr>
          <w:rFonts w:eastAsiaTheme="minorEastAsia"/>
          <w:u w:val="single"/>
        </w:rPr>
        <w:t>wskaźnik szybkiej płynności finansowej</w:t>
      </w:r>
      <w:r w:rsidR="00186C2B">
        <w:rPr>
          <w:rFonts w:eastAsiaTheme="minorEastAsia"/>
          <w:u w:val="single"/>
        </w:rPr>
        <w:t xml:space="preserve"> </w:t>
      </w:r>
      <w:r w:rsidR="00186C2B">
        <w:rPr>
          <w:rFonts w:eastAsiaTheme="minorEastAsia"/>
        </w:rPr>
        <w:t>(II®)</w:t>
      </w:r>
      <w:r w:rsidR="00B11D8E">
        <w:rPr>
          <w:rFonts w:eastAsiaTheme="minorEastAsia"/>
        </w:rPr>
        <w:t>.</w:t>
      </w:r>
      <w:r>
        <w:rPr>
          <w:rFonts w:eastAsiaTheme="minorEastAsia"/>
        </w:rPr>
        <w:t xml:space="preserve"> </w:t>
      </w:r>
    </w:p>
    <w:p w:rsidR="000F560F" w:rsidRDefault="000F560F" w:rsidP="001E6B6F">
      <w:pPr>
        <w:spacing w:after="0" w:line="240" w:lineRule="auto"/>
        <w:jc w:val="both"/>
        <w:rPr>
          <w:rFonts w:eastAsiaTheme="minorEastAsia"/>
        </w:rPr>
      </w:pPr>
    </w:p>
    <w:p w:rsidR="000F560F" w:rsidRPr="000F560F" w:rsidRDefault="000F560F" w:rsidP="001E6B6F">
      <w:pPr>
        <w:spacing w:after="0" w:line="240" w:lineRule="auto"/>
        <w:jc w:val="both"/>
        <w:rPr>
          <w:rFonts w:eastAsiaTheme="minorEastAsia"/>
        </w:rPr>
      </w:pPr>
      <m:oMathPara>
        <m:oMath>
          <m:r>
            <w:rPr>
              <w:rFonts w:ascii="Cambria Math" w:hAnsi="Cambria Math"/>
            </w:rPr>
            <m:t xml:space="preserve">wskaźnik szybkiej płynności = </m:t>
          </m:r>
          <m:f>
            <m:fPr>
              <m:ctrlPr>
                <w:rPr>
                  <w:rFonts w:ascii="Cambria Math" w:hAnsi="Cambria Math"/>
                  <w:i/>
                </w:rPr>
              </m:ctrlPr>
            </m:fPr>
            <m:num>
              <m:r>
                <w:rPr>
                  <w:rFonts w:ascii="Cambria Math" w:hAnsi="Cambria Math"/>
                </w:rPr>
                <m:t xml:space="preserve">aktywa bieżące- zapasy-rozliczenia międzyokresowe czynne </m:t>
              </m:r>
            </m:num>
            <m:den>
              <m:r>
                <w:rPr>
                  <w:rFonts w:ascii="Cambria Math" w:hAnsi="Cambria Math"/>
                </w:rPr>
                <m:t>zobowiązania bieżące</m:t>
              </m:r>
            </m:den>
          </m:f>
        </m:oMath>
      </m:oMathPara>
    </w:p>
    <w:p w:rsidR="000F560F" w:rsidRDefault="000F560F" w:rsidP="001E6B6F">
      <w:pPr>
        <w:spacing w:after="0" w:line="240" w:lineRule="auto"/>
        <w:jc w:val="both"/>
        <w:rPr>
          <w:rFonts w:eastAsiaTheme="minorEastAsia"/>
        </w:rPr>
      </w:pPr>
    </w:p>
    <w:p w:rsidR="000F560F" w:rsidRDefault="000F560F" w:rsidP="001E6B6F">
      <w:pPr>
        <w:spacing w:after="0" w:line="240" w:lineRule="auto"/>
        <w:jc w:val="both"/>
        <w:rPr>
          <w:rFonts w:eastAsiaTheme="minorEastAsia"/>
        </w:rPr>
      </w:pPr>
      <w:r>
        <w:rPr>
          <w:rFonts w:eastAsiaTheme="minorEastAsia"/>
        </w:rPr>
        <w:t>Wskaźnik ten wyraża możliwość spłaty zobowiązań przedsiębiorstwa na podstawie łatwiej dostępnych do rozliczeń finansowych składników aktywów obrotowych. W związku z tym z całości aktywów obrotowych wyłącza się zapasy i rozliczenia międzyokresowe. Środki do uregulowania zobowiązań krótkoterminowych pochodzą z płynnej części środków obrotowych – środków pieniężnych, krótkoterminowych papierów wartościowych oraz należności krótkoterminowych.</w:t>
      </w:r>
      <w:r w:rsidR="002928FF">
        <w:rPr>
          <w:rFonts w:eastAsiaTheme="minorEastAsia"/>
        </w:rPr>
        <w:t xml:space="preserve"> </w:t>
      </w:r>
      <w:r w:rsidR="002928FF">
        <w:rPr>
          <w:rFonts w:eastAsiaTheme="minorEastAsia"/>
        </w:rPr>
        <w:lastRenderedPageBreak/>
        <w:t>Wskaźnik ten powinien kształtować się na poziomie co najmniej jedności, gdyż tylko wtedy istnieje możliwość pokrycia przez przedsiębiorstwo wymagalnych zobowiązań krótkoterminowych.</w:t>
      </w:r>
    </w:p>
    <w:p w:rsidR="00BD6A14" w:rsidRDefault="00BD6A14" w:rsidP="001E6B6F">
      <w:pPr>
        <w:spacing w:after="0" w:line="240" w:lineRule="auto"/>
        <w:jc w:val="both"/>
        <w:rPr>
          <w:rFonts w:eastAsiaTheme="minorEastAsia"/>
        </w:rPr>
      </w:pPr>
    </w:p>
    <w:p w:rsidR="00BD6A14" w:rsidRDefault="00BD6A14" w:rsidP="001E6B6F">
      <w:pPr>
        <w:spacing w:after="0" w:line="240" w:lineRule="auto"/>
        <w:jc w:val="both"/>
        <w:rPr>
          <w:rFonts w:eastAsiaTheme="minorEastAsia"/>
        </w:rPr>
      </w:pPr>
      <w:r>
        <w:rPr>
          <w:rFonts w:eastAsiaTheme="minorEastAsia"/>
        </w:rPr>
        <w:t>Niski poziom wskaźnika szybkiej płynności przy wysokim poziomie wskaźnika bieżącej płynności świadczy o znacznym zamrożeniu środków w zapasach, natomiast jego wysoki poziom oznaczać może nadmierne nagromadzenie środków pieniężnych na rachunkach bankowych.</w:t>
      </w:r>
    </w:p>
    <w:p w:rsidR="001B733D" w:rsidRDefault="001B733D" w:rsidP="001E6B6F">
      <w:pPr>
        <w:spacing w:after="0" w:line="240" w:lineRule="auto"/>
        <w:jc w:val="both"/>
        <w:rPr>
          <w:rFonts w:eastAsiaTheme="minorEastAsia"/>
        </w:rPr>
      </w:pPr>
    </w:p>
    <w:p w:rsidR="001B733D" w:rsidRDefault="001B733D" w:rsidP="001E6B6F">
      <w:pPr>
        <w:spacing w:after="0" w:line="240" w:lineRule="auto"/>
        <w:jc w:val="both"/>
        <w:rPr>
          <w:rFonts w:eastAsiaTheme="minorEastAsia"/>
        </w:rPr>
      </w:pPr>
      <w:r>
        <w:rPr>
          <w:rFonts w:eastAsiaTheme="minorEastAsia"/>
        </w:rPr>
        <w:t xml:space="preserve">W praktyce wykorzystywany jest także wskaźnik superszybkiej płynności finansowej (I®) – wskaźnik wypłacalności środkami pieniężnymi. </w:t>
      </w:r>
    </w:p>
    <w:p w:rsidR="001B733D" w:rsidRDefault="001B733D" w:rsidP="001E6B6F">
      <w:pPr>
        <w:spacing w:after="0" w:line="240" w:lineRule="auto"/>
        <w:jc w:val="both"/>
        <w:rPr>
          <w:rFonts w:eastAsiaTheme="minorEastAsia"/>
        </w:rPr>
      </w:pPr>
    </w:p>
    <w:p w:rsidR="001B733D" w:rsidRPr="001B733D" w:rsidRDefault="001B733D" w:rsidP="001E6B6F">
      <w:pPr>
        <w:spacing w:after="0" w:line="240" w:lineRule="auto"/>
        <w:jc w:val="both"/>
        <w:rPr>
          <w:rFonts w:eastAsiaTheme="minorEastAsia"/>
        </w:rPr>
      </w:pPr>
      <m:oMathPara>
        <m:oMath>
          <m:r>
            <w:rPr>
              <w:rFonts w:ascii="Cambria Math" w:hAnsi="Cambria Math"/>
            </w:rPr>
            <m:t xml:space="preserve">wskaźnik superszybkiej płynności = </m:t>
          </m:r>
          <m:f>
            <m:fPr>
              <m:ctrlPr>
                <w:rPr>
                  <w:rFonts w:ascii="Cambria Math" w:hAnsi="Cambria Math"/>
                  <w:i/>
                </w:rPr>
              </m:ctrlPr>
            </m:fPr>
            <m:num>
              <m:r>
                <w:rPr>
                  <w:rFonts w:ascii="Cambria Math" w:hAnsi="Cambria Math"/>
                </w:rPr>
                <m:t>środki pieniężne+inne aktywa pie</m:t>
              </m:r>
              <m:r>
                <w:rPr>
                  <w:rFonts w:ascii="Cambria Math" w:hAnsi="Cambria Math"/>
                </w:rPr>
                <m:t>niężne</m:t>
              </m:r>
            </m:num>
            <m:den>
              <m:r>
                <w:rPr>
                  <w:rFonts w:ascii="Cambria Math" w:hAnsi="Cambria Math"/>
                </w:rPr>
                <m:t>zobowiązania bieżące</m:t>
              </m:r>
            </m:den>
          </m:f>
        </m:oMath>
      </m:oMathPara>
    </w:p>
    <w:p w:rsidR="001B733D" w:rsidRDefault="001B733D" w:rsidP="001E6B6F">
      <w:pPr>
        <w:spacing w:after="0" w:line="240" w:lineRule="auto"/>
        <w:jc w:val="both"/>
        <w:rPr>
          <w:rFonts w:eastAsiaTheme="minorEastAsia"/>
        </w:rPr>
      </w:pPr>
    </w:p>
    <w:p w:rsidR="001B733D" w:rsidRDefault="001B733D" w:rsidP="001E6B6F">
      <w:pPr>
        <w:spacing w:after="0" w:line="240" w:lineRule="auto"/>
        <w:jc w:val="both"/>
        <w:rPr>
          <w:rFonts w:eastAsiaTheme="minorEastAsia"/>
        </w:rPr>
      </w:pPr>
      <w:r>
        <w:rPr>
          <w:rFonts w:eastAsiaTheme="minorEastAsia"/>
        </w:rPr>
        <w:t xml:space="preserve">Określa on jaka część zobowiązań może być regulowana w oparciu o najbardziej płynne aktywa mające postać gotówki i inwestycji krótkoterminowych (np. papierów wartościowych). Wyjaśnia jaką kwotę wymagalnych zobowiązań może pokryć przedsiębiorstwo z bezpośrednio dostępnych środków płatniczych. </w:t>
      </w:r>
    </w:p>
    <w:p w:rsidR="001B733D" w:rsidRDefault="001B733D" w:rsidP="001E6B6F">
      <w:pPr>
        <w:spacing w:after="0" w:line="240" w:lineRule="auto"/>
        <w:jc w:val="both"/>
        <w:rPr>
          <w:rFonts w:eastAsiaTheme="minorEastAsia"/>
        </w:rPr>
      </w:pPr>
      <w:r>
        <w:rPr>
          <w:rFonts w:eastAsiaTheme="minorEastAsia"/>
        </w:rPr>
        <w:t>Brak środków pieniężnych na koncie nie oznacza utraty płynności finansowej, gdyż środki pieniężne do regulowania bieżących zobowiązań mogą być zapewnione z bieżąco</w:t>
      </w:r>
      <w:r w:rsidR="00003DFB">
        <w:rPr>
          <w:rFonts w:eastAsiaTheme="minorEastAsia"/>
        </w:rPr>
        <w:t xml:space="preserve"> inkasowanych należności od klientów. Taki sposób precyzyjnego planowania przepływów gotówki (synchronizacji przychodów i wydatków) wymaga stabilnej sytuacji przedsiębiorstwa w łańcuchu dostaw, ustalonych i stale kontrolowanych przepływów z dostawcami i odbiorcami oraz ciągłej komunikacji i prognozowania. </w:t>
      </w:r>
    </w:p>
    <w:p w:rsidR="0021297B" w:rsidRDefault="0021297B" w:rsidP="001E6B6F">
      <w:pPr>
        <w:spacing w:after="0" w:line="240" w:lineRule="auto"/>
        <w:jc w:val="both"/>
        <w:rPr>
          <w:rFonts w:eastAsiaTheme="minorEastAsia"/>
        </w:rPr>
      </w:pPr>
    </w:p>
    <w:p w:rsidR="0021297B" w:rsidRDefault="0021297B" w:rsidP="001E6B6F">
      <w:pPr>
        <w:spacing w:after="0" w:line="240" w:lineRule="auto"/>
        <w:jc w:val="both"/>
        <w:rPr>
          <w:rFonts w:eastAsiaTheme="minorEastAsia"/>
        </w:rPr>
      </w:pPr>
      <w:r>
        <w:rPr>
          <w:rFonts w:eastAsiaTheme="minorEastAsia"/>
        </w:rPr>
        <w:t>Do czynników kształtujących płynność finansową przedsiębiorstwa należą:</w:t>
      </w:r>
    </w:p>
    <w:p w:rsidR="0021297B" w:rsidRDefault="0021297B" w:rsidP="0021297B">
      <w:pPr>
        <w:pStyle w:val="Akapitzlist"/>
        <w:numPr>
          <w:ilvl w:val="0"/>
          <w:numId w:val="11"/>
        </w:numPr>
        <w:spacing w:after="0" w:line="240" w:lineRule="auto"/>
        <w:jc w:val="both"/>
      </w:pPr>
      <w:r>
        <w:t>struktura aktywów – podział na trwałe i obrotowe, stopień płynności poszczególnych składników aktywów bieżących oraz długość cyklu kapitału pracującego,</w:t>
      </w:r>
    </w:p>
    <w:p w:rsidR="0021297B" w:rsidRDefault="009A0548" w:rsidP="0021297B">
      <w:pPr>
        <w:pStyle w:val="Akapitzlist"/>
        <w:numPr>
          <w:ilvl w:val="0"/>
          <w:numId w:val="11"/>
        </w:numPr>
        <w:spacing w:after="0" w:line="240" w:lineRule="auto"/>
        <w:jc w:val="both"/>
      </w:pPr>
      <w:r>
        <w:t>struktura źródeł finansowania aktywów,</w:t>
      </w:r>
    </w:p>
    <w:p w:rsidR="009A0548" w:rsidRDefault="009A0548" w:rsidP="009A0548">
      <w:pPr>
        <w:pStyle w:val="Akapitzlist"/>
        <w:numPr>
          <w:ilvl w:val="0"/>
          <w:numId w:val="11"/>
        </w:numPr>
        <w:spacing w:after="0" w:line="240" w:lineRule="auto"/>
        <w:jc w:val="both"/>
      </w:pPr>
      <w:r>
        <w:t>struktura zadłużenia – udział zobowiązań bieżących w zadłużeniu ogółem.</w:t>
      </w:r>
    </w:p>
    <w:p w:rsidR="009A0548" w:rsidRDefault="009A0548" w:rsidP="009A0548">
      <w:pPr>
        <w:spacing w:after="0" w:line="240" w:lineRule="auto"/>
        <w:jc w:val="both"/>
      </w:pPr>
    </w:p>
    <w:p w:rsidR="00B11818" w:rsidRDefault="00B11C4E" w:rsidP="009A0548">
      <w:pPr>
        <w:spacing w:after="0" w:line="240" w:lineRule="auto"/>
        <w:jc w:val="both"/>
      </w:pPr>
      <w:r w:rsidRPr="002C71AF">
        <w:rPr>
          <w:b/>
        </w:rPr>
        <w:t>Kapitał pracujący</w:t>
      </w:r>
      <w:r w:rsidR="00BA0DF7">
        <w:t xml:space="preserve"> stanowi różnicę pomiędzy aktywami obrotowymi a zobowiązaniami krótkoterminowymi.</w:t>
      </w:r>
    </w:p>
    <w:p w:rsidR="00B11818" w:rsidRDefault="00B11818" w:rsidP="009A0548">
      <w:pPr>
        <w:spacing w:after="0" w:line="240" w:lineRule="auto"/>
        <w:jc w:val="both"/>
      </w:pPr>
    </w:p>
    <w:p w:rsidR="009A0548" w:rsidRDefault="009A0548" w:rsidP="009A0548">
      <w:pPr>
        <w:spacing w:after="0" w:line="240" w:lineRule="auto"/>
        <w:jc w:val="both"/>
      </w:pPr>
      <w:r>
        <w:t>Analiza środków pieniężnych zamrożonyc</w:t>
      </w:r>
      <w:r w:rsidR="00B11818">
        <w:t>h w zapasach przedsiębiorstwa (</w:t>
      </w:r>
      <w:r>
        <w:t xml:space="preserve">w różnych rodzajach zapasów – materiałowych, produkcji w toku i wyrobach gotowych w różnych lokalizacjach w łańcuchu dystrybucji) i w należnościach od odbiorców w powiązaniu z kształtowaniem cyklu regulowania zobowiązań w stosunku do dostawców jest istotnym źródłem informacji dla controllingu logistyki. Pozwala na dobór metod zarządzania zaopatrzeniem, realizacją zleceń klientów i dystrybucją, tak aby poprawić sytuację finansową i wynik przedsiębiorstwa. </w:t>
      </w:r>
    </w:p>
    <w:p w:rsidR="009A0548" w:rsidRDefault="009A0548" w:rsidP="009A0548">
      <w:pPr>
        <w:spacing w:after="0" w:line="240" w:lineRule="auto"/>
        <w:jc w:val="both"/>
      </w:pPr>
    </w:p>
    <w:p w:rsidR="009A0548" w:rsidRDefault="009A0548" w:rsidP="009A0548">
      <w:pPr>
        <w:spacing w:after="0" w:line="240" w:lineRule="auto"/>
        <w:jc w:val="both"/>
      </w:pPr>
      <w:r>
        <w:t>Utrata płynności finansowej może powodować szereg niepożądanych skutków dla działalności przedsiębiorstwa</w:t>
      </w:r>
      <w:r w:rsidR="001C34CF">
        <w:t>, w tym także logistycznej, np.:</w:t>
      </w:r>
    </w:p>
    <w:p w:rsidR="00D048EB" w:rsidRDefault="001C34CF" w:rsidP="001C34CF">
      <w:pPr>
        <w:pStyle w:val="Akapitzlist"/>
        <w:numPr>
          <w:ilvl w:val="0"/>
          <w:numId w:val="12"/>
        </w:numPr>
        <w:spacing w:after="0" w:line="240" w:lineRule="auto"/>
        <w:jc w:val="both"/>
      </w:pPr>
      <w:r>
        <w:t xml:space="preserve">pogorszenie pozycji konkurencyjnej po stronie rynków zaopatrzenia i rynków sprzedaży – przedsiębiorstwo przy braku płynności finansowej poszukuje sposobów wydłużenia terminów płatności dostawcom (mała wiarygodność) – natomiast dostawcy dostarczający wysokiej jakości materiały mogą żądać zaliczek lub natychmiastowych płatności. Utrzymanie rynków sprzedaży wymaga kredytowania klientów na coraz dłuższe okresy </w:t>
      </w:r>
      <w:r w:rsidR="00A01B84">
        <w:t xml:space="preserve">płatności należności, a brak płynności finansowej sprzedawcy nie powala na taką politykę. Jedna i druga sytuacja jest groźna ponieważ można </w:t>
      </w:r>
      <w:r w:rsidR="00F37D8D">
        <w:t>utracić</w:t>
      </w:r>
      <w:r w:rsidR="00A01B84">
        <w:t xml:space="preserve"> i dostawców i odbiorców, a logistykę czeka żmudna praca budowania bezpieczeństwa materiałowego i poszukiwania dostawców oraz planowania nowych kanałów dystrybucji </w:t>
      </w:r>
      <w:r w:rsidR="00D048EB">
        <w:t xml:space="preserve">do nowych rynków zbytu. Pracownicy controllingu logistyki obserwując sytuację zarówno na rynku zewnętrznym, jak i wewnątrz przedsiębiorstwa, </w:t>
      </w:r>
      <w:r w:rsidR="00D048EB">
        <w:lastRenderedPageBreak/>
        <w:t>powinni przewidywać zagrożenia i odpowiednio wcześnie reagować, np. poszukując alternatywnych dostawców, substytutów materiałowych oraz innych odbiorców na ewentualnie gorsze jakościowo produkty;</w:t>
      </w:r>
    </w:p>
    <w:p w:rsidR="001C34CF" w:rsidRDefault="00D048EB" w:rsidP="001C34CF">
      <w:pPr>
        <w:pStyle w:val="Akapitzlist"/>
        <w:numPr>
          <w:ilvl w:val="0"/>
          <w:numId w:val="12"/>
        </w:numPr>
        <w:spacing w:after="0" w:line="240" w:lineRule="auto"/>
        <w:jc w:val="both"/>
      </w:pPr>
      <w:r>
        <w:t>utrata elastyczności w podejmowaniu decyzji – wypracowane wielkości zamówienia i terminy zamawiania pozwalające osiągnąć możliwie najniższe koszty logistyczne mogą być nierealne ze względu na brak środków finansowych</w:t>
      </w:r>
      <w:r w:rsidR="001C34CF">
        <w:t xml:space="preserve">  </w:t>
      </w:r>
      <w:r>
        <w:t>na zakup materiałów. Przedsiębiorstwo może stosować wówczas inne niż optymalne wielkości i terminy zamówienia, powodując tym samym wyższe koszty obsługi logistycznej.</w:t>
      </w:r>
      <w:r w:rsidR="00071335">
        <w:t xml:space="preserve"> Małe, nieefektywne partie dostawy, utrata rabatów możliwych tylko przy dużych wartościach zakupów jednostkowych, koszty odsetek przy zaciąganiu zobowiązań wobec banków, powodują wyższe koszty operacyjne i finansowe działalności przedsiębiorstwa</w:t>
      </w:r>
      <w:r w:rsidR="0092372C">
        <w:t>;</w:t>
      </w:r>
    </w:p>
    <w:p w:rsidR="0092372C" w:rsidRDefault="0092372C" w:rsidP="001C34CF">
      <w:pPr>
        <w:pStyle w:val="Akapitzlist"/>
        <w:numPr>
          <w:ilvl w:val="0"/>
          <w:numId w:val="12"/>
        </w:numPr>
        <w:spacing w:after="0" w:line="240" w:lineRule="auto"/>
        <w:jc w:val="both"/>
      </w:pPr>
      <w:r>
        <w:t>brak możliwości terminowej realizacji rozpoczętych inwestycji, powoduje, że poniesione nakłady nie zwracają się w przewidywanym terminie, rentowność inwestycji maleje,                      a planowane zyski z eksploatacji inwestycji oddalają się lub są nierealne – co powoduje zagrożenie dla rozwoju przedsiębiorstwa.</w:t>
      </w:r>
    </w:p>
    <w:p w:rsidR="00B11818" w:rsidRDefault="00B11818" w:rsidP="00B11818">
      <w:pPr>
        <w:spacing w:after="0" w:line="240" w:lineRule="auto"/>
        <w:jc w:val="both"/>
      </w:pPr>
    </w:p>
    <w:p w:rsidR="00B11818" w:rsidRPr="00E35FAD" w:rsidRDefault="00B11818" w:rsidP="00E35FAD">
      <w:pPr>
        <w:spacing w:after="0" w:line="240" w:lineRule="auto"/>
        <w:jc w:val="center"/>
        <w:rPr>
          <w:b/>
        </w:rPr>
      </w:pPr>
      <w:r w:rsidRPr="00E35FAD">
        <w:rPr>
          <w:b/>
        </w:rPr>
        <w:t>WPŁYW ZARZĄDZANIA LOGISTYKĄ NA SPRAWNOŚĆ DZIAŁANIA PRZEDSIĘBIORSTWA</w:t>
      </w:r>
    </w:p>
    <w:p w:rsidR="00B11818" w:rsidRDefault="00B11818" w:rsidP="00B11818">
      <w:pPr>
        <w:spacing w:after="0" w:line="240" w:lineRule="auto"/>
        <w:jc w:val="both"/>
      </w:pPr>
    </w:p>
    <w:p w:rsidR="00B11818" w:rsidRDefault="00E35FAD" w:rsidP="00B11818">
      <w:pPr>
        <w:spacing w:after="0" w:line="240" w:lineRule="auto"/>
        <w:jc w:val="both"/>
      </w:pPr>
      <w:r>
        <w:t>Wskaźniki sprawności działania (obrotowości, produktywności) umożliwiają ocenę efektywności wykorzystania zasobów majątkowych przedsiębiorstwa. Wykorzystywane są do wyjaśnienia przyczyn kształtowania się określonych wartości wyników przedsiębiorstwa.</w:t>
      </w:r>
      <w:r w:rsidR="000C3CB4">
        <w:t xml:space="preserve"> Istotne jest w jakim stopniu podniesienie wydajności pracy i wyższa produktywność wpłyną na obniżenie kosztów w łańcuchu dostaw i wzrost </w:t>
      </w:r>
      <w:r w:rsidR="000B58D9">
        <w:t>zysku przedsiębiorstwa. Analizę wpływu zarządzania logistyką na sprawność działania przedsiębiorstwa można prześledzić na podstawie 3 grup wskaźników:</w:t>
      </w:r>
    </w:p>
    <w:p w:rsidR="000B58D9" w:rsidRDefault="000B58D9" w:rsidP="000B58D9">
      <w:pPr>
        <w:pStyle w:val="Akapitzlist"/>
        <w:numPr>
          <w:ilvl w:val="0"/>
          <w:numId w:val="14"/>
        </w:numPr>
        <w:spacing w:after="0" w:line="240" w:lineRule="auto"/>
        <w:jc w:val="both"/>
      </w:pPr>
      <w:r>
        <w:t>wskaźników opartych na kosztach,</w:t>
      </w:r>
    </w:p>
    <w:p w:rsidR="000B58D9" w:rsidRDefault="000B58D9" w:rsidP="000B58D9">
      <w:pPr>
        <w:pStyle w:val="Akapitzlist"/>
        <w:numPr>
          <w:ilvl w:val="0"/>
          <w:numId w:val="14"/>
        </w:numPr>
        <w:spacing w:after="0" w:line="240" w:lineRule="auto"/>
        <w:jc w:val="both"/>
      </w:pPr>
      <w:r>
        <w:t>wskaźników rotacji,</w:t>
      </w:r>
    </w:p>
    <w:p w:rsidR="000B58D9" w:rsidRDefault="000B58D9" w:rsidP="000B58D9">
      <w:pPr>
        <w:pStyle w:val="Akapitzlist"/>
        <w:numPr>
          <w:ilvl w:val="0"/>
          <w:numId w:val="14"/>
        </w:numPr>
        <w:spacing w:after="0" w:line="240" w:lineRule="auto"/>
        <w:jc w:val="both"/>
      </w:pPr>
      <w:r>
        <w:t>wskaźników gospodarowania zasobami.</w:t>
      </w:r>
    </w:p>
    <w:p w:rsidR="000B58D9" w:rsidRDefault="000B58D9" w:rsidP="000B58D9">
      <w:pPr>
        <w:spacing w:after="0" w:line="240" w:lineRule="auto"/>
        <w:jc w:val="both"/>
      </w:pPr>
    </w:p>
    <w:p w:rsidR="000B58D9" w:rsidRDefault="000B58D9" w:rsidP="000B58D9">
      <w:pPr>
        <w:spacing w:after="0" w:line="240" w:lineRule="auto"/>
        <w:jc w:val="both"/>
      </w:pPr>
      <w:r w:rsidRPr="000B58D9">
        <w:rPr>
          <w:u w:val="single"/>
        </w:rPr>
        <w:t>Wskaźniki sprawności działania oparte na kosztach</w:t>
      </w:r>
      <w:r>
        <w:t xml:space="preserve"> i dedykowane dla logistyki umożliwiają analizę wpływu zarządzania logistyką – obciążenia przychodów ze sprzedaży kosztami logistyki w łańcuchu dostaw:</w:t>
      </w:r>
    </w:p>
    <w:p w:rsidR="000B58D9" w:rsidRDefault="000B58D9" w:rsidP="000B58D9">
      <w:pPr>
        <w:spacing w:after="0" w:line="240" w:lineRule="auto"/>
        <w:jc w:val="both"/>
      </w:pPr>
    </w:p>
    <w:p w:rsidR="000B58D9" w:rsidRPr="000B58D9" w:rsidRDefault="00032BFC" w:rsidP="000B58D9">
      <w:pPr>
        <w:spacing w:after="0" w:line="240" w:lineRule="auto"/>
        <w:jc w:val="both"/>
        <w:rPr>
          <w:rFonts w:eastAsiaTheme="minorEastAsia"/>
        </w:rPr>
      </w:pPr>
      <m:oMathPara>
        <m:oMath>
          <m:f>
            <m:fPr>
              <m:ctrlPr>
                <w:rPr>
                  <w:rFonts w:ascii="Cambria Math" w:hAnsi="Cambria Math"/>
                  <w:i/>
                </w:rPr>
              </m:ctrlPr>
            </m:fPr>
            <m:num>
              <m:r>
                <w:rPr>
                  <w:rFonts w:ascii="Cambria Math" w:hAnsi="Cambria Math"/>
                </w:rPr>
                <m:t>koszty logistyki</m:t>
              </m:r>
            </m:num>
            <m:den>
              <m:r>
                <w:rPr>
                  <w:rFonts w:ascii="Cambria Math" w:hAnsi="Cambria Math"/>
                </w:rPr>
                <m:t>przychody netto ze sprzedaży</m:t>
              </m:r>
            </m:den>
          </m:f>
          <m:r>
            <w:rPr>
              <w:rFonts w:ascii="Cambria Math" w:hAnsi="Cambria Math"/>
            </w:rPr>
            <m:t xml:space="preserve"> ×100%</m:t>
          </m:r>
        </m:oMath>
      </m:oMathPara>
    </w:p>
    <w:p w:rsidR="000B58D9" w:rsidRDefault="000B58D9" w:rsidP="000B58D9">
      <w:pPr>
        <w:spacing w:after="0" w:line="240" w:lineRule="auto"/>
        <w:jc w:val="both"/>
        <w:rPr>
          <w:rFonts w:eastAsiaTheme="minorEastAsia"/>
        </w:rPr>
      </w:pPr>
    </w:p>
    <w:p w:rsidR="000B58D9" w:rsidRDefault="000B58D9" w:rsidP="000B58D9">
      <w:pPr>
        <w:spacing w:after="0" w:line="240" w:lineRule="auto"/>
        <w:jc w:val="both"/>
        <w:rPr>
          <w:rFonts w:eastAsiaTheme="minorEastAsia"/>
        </w:rPr>
      </w:pPr>
      <w:r>
        <w:rPr>
          <w:rFonts w:eastAsiaTheme="minorEastAsia"/>
        </w:rPr>
        <w:t>Przychody mogą pochodzić ze sprzedaży wyrobów gotowych, towarów i materiałów. Koszty logistyki są identyfikowane wg układów klasyfikacyjnych kosztów – wg rodzaju, miejsca powstawania</w:t>
      </w:r>
      <w:r w:rsidR="00D232A7">
        <w:rPr>
          <w:rFonts w:eastAsiaTheme="minorEastAsia"/>
        </w:rPr>
        <w:t>, realizowanych działań. Przyjmując za podstawę klasyfikację kosztów w układzie rodzajowym, można wyróżnić  wiele szczegółowych wskaźników analizy wpływu działań logistycznych na obciążenie przychodów ze sprzedaży:</w:t>
      </w:r>
    </w:p>
    <w:p w:rsidR="00D232A7" w:rsidRDefault="00D232A7" w:rsidP="000B58D9">
      <w:pPr>
        <w:spacing w:after="0" w:line="240" w:lineRule="auto"/>
        <w:jc w:val="both"/>
        <w:rPr>
          <w:rFonts w:eastAsiaTheme="minorEastAsia"/>
        </w:rPr>
      </w:pPr>
    </w:p>
    <w:p w:rsidR="00D232A7" w:rsidRPr="00D232A7" w:rsidRDefault="00D232A7" w:rsidP="000B58D9">
      <w:pPr>
        <w:spacing w:after="0" w:line="240" w:lineRule="auto"/>
        <w:jc w:val="both"/>
        <w:rPr>
          <w:rFonts w:eastAsiaTheme="minorEastAsia"/>
        </w:rPr>
      </w:pPr>
      <m:oMathPara>
        <m:oMath>
          <m:r>
            <w:rPr>
              <w:rFonts w:ascii="Cambria Math" w:hAnsi="Cambria Math"/>
            </w:rPr>
            <m:t xml:space="preserve">wskaźnik materiałochłonności = </m:t>
          </m:r>
          <m:f>
            <m:fPr>
              <m:ctrlPr>
                <w:rPr>
                  <w:rFonts w:ascii="Cambria Math" w:hAnsi="Cambria Math"/>
                  <w:i/>
                </w:rPr>
              </m:ctrlPr>
            </m:fPr>
            <m:num>
              <m:r>
                <w:rPr>
                  <w:rFonts w:ascii="Cambria Math" w:hAnsi="Cambria Math"/>
                </w:rPr>
                <m:t>koszty zużycia materiałów</m:t>
              </m:r>
            </m:num>
            <m:den>
              <m:r>
                <w:rPr>
                  <w:rFonts w:ascii="Cambria Math" w:hAnsi="Cambria Math"/>
                </w:rPr>
                <m:t>przychody netto ze sprzedaży</m:t>
              </m:r>
            </m:den>
          </m:f>
          <m:r>
            <w:rPr>
              <w:rFonts w:ascii="Cambria Math" w:hAnsi="Cambria Math"/>
            </w:rPr>
            <m:t xml:space="preserve"> ×100%</m:t>
          </m:r>
        </m:oMath>
      </m:oMathPara>
    </w:p>
    <w:p w:rsidR="00D232A7" w:rsidRDefault="00D232A7" w:rsidP="000B58D9">
      <w:pPr>
        <w:spacing w:after="0" w:line="240" w:lineRule="auto"/>
        <w:jc w:val="both"/>
        <w:rPr>
          <w:rFonts w:eastAsiaTheme="minorEastAsia"/>
        </w:rPr>
      </w:pPr>
    </w:p>
    <w:p w:rsidR="00D232A7" w:rsidRDefault="00D232A7" w:rsidP="000B58D9">
      <w:pPr>
        <w:spacing w:after="0" w:line="240" w:lineRule="auto"/>
        <w:jc w:val="both"/>
        <w:rPr>
          <w:rFonts w:eastAsiaTheme="minorEastAsia"/>
        </w:rPr>
      </w:pPr>
    </w:p>
    <w:p w:rsidR="00D232A7" w:rsidRPr="00D232A7" w:rsidRDefault="00D232A7" w:rsidP="000B58D9">
      <w:pPr>
        <w:spacing w:after="0" w:line="240" w:lineRule="auto"/>
        <w:jc w:val="both"/>
        <w:rPr>
          <w:rFonts w:eastAsiaTheme="minorEastAsia"/>
        </w:rPr>
      </w:pPr>
      <m:oMathPara>
        <m:oMath>
          <m:r>
            <w:rPr>
              <w:rFonts w:ascii="Cambria Math" w:hAnsi="Cambria Math"/>
            </w:rPr>
            <m:t xml:space="preserve">wskaźnik energochłonności = </m:t>
          </m:r>
          <m:f>
            <m:fPr>
              <m:ctrlPr>
                <w:rPr>
                  <w:rFonts w:ascii="Cambria Math" w:hAnsi="Cambria Math"/>
                  <w:i/>
                </w:rPr>
              </m:ctrlPr>
            </m:fPr>
            <m:num>
              <m:r>
                <w:rPr>
                  <w:rFonts w:ascii="Cambria Math" w:hAnsi="Cambria Math"/>
                </w:rPr>
                <m:t>koszty zużycia energii i paliwa</m:t>
              </m:r>
            </m:num>
            <m:den>
              <m:r>
                <w:rPr>
                  <w:rFonts w:ascii="Cambria Math" w:hAnsi="Cambria Math"/>
                </w:rPr>
                <m:t>przychody netto ze sprzedaży</m:t>
              </m:r>
            </m:den>
          </m:f>
          <m:r>
            <w:rPr>
              <w:rFonts w:ascii="Cambria Math" w:hAnsi="Cambria Math"/>
            </w:rPr>
            <m:t xml:space="preserve"> ×100%</m:t>
          </m:r>
        </m:oMath>
      </m:oMathPara>
    </w:p>
    <w:p w:rsidR="00D232A7" w:rsidRDefault="00D232A7" w:rsidP="000B58D9">
      <w:pPr>
        <w:spacing w:after="0" w:line="240" w:lineRule="auto"/>
        <w:jc w:val="both"/>
        <w:rPr>
          <w:rFonts w:eastAsiaTheme="minorEastAsia"/>
        </w:rPr>
      </w:pPr>
    </w:p>
    <w:p w:rsidR="00D232A7" w:rsidRDefault="00D232A7" w:rsidP="000B58D9">
      <w:pPr>
        <w:spacing w:after="0" w:line="240" w:lineRule="auto"/>
        <w:jc w:val="both"/>
        <w:rPr>
          <w:rFonts w:eastAsiaTheme="minorEastAsia"/>
        </w:rPr>
      </w:pPr>
    </w:p>
    <w:p w:rsidR="000A0522" w:rsidRDefault="000A0522" w:rsidP="000B58D9">
      <w:pPr>
        <w:spacing w:after="0" w:line="240" w:lineRule="auto"/>
        <w:jc w:val="both"/>
        <w:rPr>
          <w:rFonts w:eastAsiaTheme="minorEastAsia"/>
        </w:rPr>
      </w:pPr>
      <m:oMathPara>
        <m:oMath>
          <m:r>
            <w:rPr>
              <w:rFonts w:ascii="Cambria Math" w:hAnsi="Cambria Math"/>
            </w:rPr>
            <m:t xml:space="preserve">wskaźnik pracochłonności = </m:t>
          </m:r>
          <m:f>
            <m:fPr>
              <m:ctrlPr>
                <w:rPr>
                  <w:rFonts w:ascii="Cambria Math" w:hAnsi="Cambria Math"/>
                  <w:i/>
                </w:rPr>
              </m:ctrlPr>
            </m:fPr>
            <m:num>
              <m:r>
                <w:rPr>
                  <w:rFonts w:ascii="Cambria Math" w:hAnsi="Cambria Math"/>
                </w:rPr>
                <m:t>koszty wynagrodzeń</m:t>
              </m:r>
            </m:num>
            <m:den>
              <m:r>
                <w:rPr>
                  <w:rFonts w:ascii="Cambria Math" w:hAnsi="Cambria Math"/>
                </w:rPr>
                <m:t xml:space="preserve">przychody netto ze sprzedaży </m:t>
              </m:r>
            </m:den>
          </m:f>
          <m:r>
            <w:rPr>
              <w:rFonts w:ascii="Cambria Math" w:hAnsi="Cambria Math"/>
            </w:rPr>
            <m:t xml:space="preserve"> ×100%</m:t>
          </m:r>
        </m:oMath>
      </m:oMathPara>
    </w:p>
    <w:p w:rsidR="000A0522" w:rsidRDefault="000A0522" w:rsidP="000B58D9">
      <w:pPr>
        <w:spacing w:after="0" w:line="240" w:lineRule="auto"/>
        <w:jc w:val="both"/>
        <w:rPr>
          <w:rFonts w:eastAsiaTheme="minorEastAsia"/>
        </w:rPr>
      </w:pPr>
    </w:p>
    <w:p w:rsidR="000A0522" w:rsidRPr="000A0522" w:rsidRDefault="000A0522" w:rsidP="000B58D9">
      <w:pPr>
        <w:spacing w:after="0" w:line="240" w:lineRule="auto"/>
        <w:jc w:val="both"/>
        <w:rPr>
          <w:rFonts w:eastAsiaTheme="minorEastAsia"/>
        </w:rPr>
      </w:pPr>
      <m:oMathPara>
        <m:oMath>
          <m:r>
            <w:rPr>
              <w:rFonts w:ascii="Cambria Math" w:hAnsi="Cambria Math"/>
            </w:rPr>
            <m:t xml:space="preserve">wskaźnik usługochłonności = </m:t>
          </m:r>
          <m:f>
            <m:fPr>
              <m:ctrlPr>
                <w:rPr>
                  <w:rFonts w:ascii="Cambria Math" w:hAnsi="Cambria Math"/>
                  <w:i/>
                </w:rPr>
              </m:ctrlPr>
            </m:fPr>
            <m:num>
              <m:r>
                <w:rPr>
                  <w:rFonts w:ascii="Cambria Math" w:hAnsi="Cambria Math"/>
                </w:rPr>
                <m:t>koszty usług obcych</m:t>
              </m:r>
            </m:num>
            <m:den>
              <m:r>
                <w:rPr>
                  <w:rFonts w:ascii="Cambria Math" w:hAnsi="Cambria Math"/>
                </w:rPr>
                <m:t xml:space="preserve">przychody netto ze sprzedaży </m:t>
              </m:r>
            </m:den>
          </m:f>
          <m:r>
            <w:rPr>
              <w:rFonts w:ascii="Cambria Math" w:hAnsi="Cambria Math"/>
            </w:rPr>
            <m:t xml:space="preserve"> ×100%</m:t>
          </m:r>
        </m:oMath>
      </m:oMathPara>
    </w:p>
    <w:p w:rsidR="000A0522" w:rsidRDefault="000A0522" w:rsidP="000B58D9">
      <w:pPr>
        <w:spacing w:after="0" w:line="240" w:lineRule="auto"/>
        <w:jc w:val="both"/>
        <w:rPr>
          <w:rFonts w:eastAsiaTheme="minorEastAsia"/>
        </w:rPr>
      </w:pPr>
    </w:p>
    <w:p w:rsidR="000A0522" w:rsidRDefault="000A0522" w:rsidP="000B58D9">
      <w:pPr>
        <w:spacing w:after="0" w:line="240" w:lineRule="auto"/>
        <w:jc w:val="both"/>
        <w:rPr>
          <w:rFonts w:eastAsiaTheme="minorEastAsia"/>
        </w:rPr>
      </w:pPr>
      <w:r>
        <w:rPr>
          <w:rFonts w:eastAsiaTheme="minorEastAsia"/>
        </w:rPr>
        <w:t>Wskaźniki obciążenia przychodów poszczególnymi grupami kosztów określają jaką część przychodów ze sprzedaży przeznaczamy na pokrycie kosztów energii, pracy ludzkiej czy zewnętrznych usług logistycznych, uszczuplając tym samym zysk przedsiębiorstwa. Analiza kosztów na poszczególnych etapach przepływu materiałowego, w zaopatrzeniu, w magazynie czy transporcie, umożliwia ocenę            i sterowanie grupami kosztów najbardziej obciążających przychody ze sprzedaży.</w:t>
      </w:r>
    </w:p>
    <w:p w:rsidR="0027537B" w:rsidRDefault="0027537B" w:rsidP="000B58D9">
      <w:pPr>
        <w:spacing w:after="0" w:line="240" w:lineRule="auto"/>
        <w:jc w:val="both"/>
        <w:rPr>
          <w:rFonts w:eastAsiaTheme="minorEastAsia"/>
        </w:rPr>
      </w:pPr>
    </w:p>
    <w:p w:rsidR="00B83BCF" w:rsidRDefault="00B83BCF" w:rsidP="000B58D9">
      <w:pPr>
        <w:spacing w:after="0" w:line="240" w:lineRule="auto"/>
        <w:jc w:val="both"/>
        <w:rPr>
          <w:rFonts w:eastAsiaTheme="minorEastAsia"/>
        </w:rPr>
      </w:pPr>
      <w:r>
        <w:rPr>
          <w:rFonts w:eastAsiaTheme="minorEastAsia"/>
        </w:rPr>
        <w:t>J. Twaróg wyróżnia jeszcze inne wskaźniki dotyczące kosztów logistyki:</w:t>
      </w:r>
    </w:p>
    <w:p w:rsidR="00B83BCF" w:rsidRDefault="00B83BCF" w:rsidP="000B58D9">
      <w:pPr>
        <w:spacing w:after="0" w:line="240" w:lineRule="auto"/>
        <w:jc w:val="both"/>
        <w:rPr>
          <w:rFonts w:eastAsiaTheme="minorEastAsia"/>
        </w:rPr>
      </w:pPr>
    </w:p>
    <w:p w:rsidR="00B83BCF" w:rsidRPr="00C913FF" w:rsidRDefault="00B83BCF" w:rsidP="00B83BCF">
      <w:pPr>
        <w:spacing w:after="0" w:line="240" w:lineRule="auto"/>
        <w:jc w:val="both"/>
        <w:rPr>
          <w:rFonts w:eastAsiaTheme="minorEastAsia"/>
        </w:rPr>
      </w:pPr>
      <m:oMathPara>
        <m:oMath>
          <m:r>
            <w:rPr>
              <w:rFonts w:ascii="Cambria Math" w:hAnsi="Cambria Math"/>
            </w:rPr>
            <m:t>koszty logistyki =koszty administracji obszaru logistyki+koszty zamrozonego kapitału+kosz</m:t>
          </m:r>
          <m:r>
            <w:rPr>
              <w:rFonts w:ascii="Cambria Math" w:hAnsi="Cambria Math"/>
            </w:rPr>
            <m:t>ty magazynowania+koszty transportu</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Pr="00C913FF" w:rsidRDefault="00B83BCF" w:rsidP="00B83BCF">
      <w:pPr>
        <w:spacing w:after="0" w:line="240" w:lineRule="auto"/>
        <w:jc w:val="both"/>
        <w:rPr>
          <w:rFonts w:eastAsiaTheme="minorEastAsia"/>
        </w:rPr>
      </w:pPr>
      <m:oMathPara>
        <m:oMath>
          <m:r>
            <w:rPr>
              <w:rFonts w:ascii="Cambria Math" w:hAnsi="Cambria Math"/>
            </w:rPr>
            <m:t xml:space="preserve">udział kosztów logistyki w obrocie logistyki = </m:t>
          </m:r>
          <m:f>
            <m:fPr>
              <m:ctrlPr>
                <w:rPr>
                  <w:rFonts w:ascii="Cambria Math" w:hAnsi="Cambria Math"/>
                  <w:i/>
                </w:rPr>
              </m:ctrlPr>
            </m:fPr>
            <m:num>
              <m:r>
                <w:rPr>
                  <w:rFonts w:ascii="Cambria Math" w:hAnsi="Cambria Math"/>
                </w:rPr>
                <m:t>całkowite koszty logistyki</m:t>
              </m:r>
            </m:num>
            <m:den>
              <m:r>
                <w:rPr>
                  <w:rFonts w:ascii="Cambria Math" w:hAnsi="Cambria Math"/>
                </w:rPr>
                <m:t>obrót</m:t>
              </m:r>
            </m:den>
          </m:f>
          <m:r>
            <w:rPr>
              <w:rFonts w:ascii="Cambria Math" w:hAnsi="Cambria Math"/>
            </w:rPr>
            <m:t xml:space="preserve"> ×100 </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Pr="00C913FF" w:rsidRDefault="00B83BCF" w:rsidP="00B83BCF">
      <w:pPr>
        <w:spacing w:after="0" w:line="240" w:lineRule="auto"/>
        <w:jc w:val="both"/>
        <w:rPr>
          <w:rFonts w:eastAsiaTheme="minorEastAsia"/>
        </w:rPr>
      </w:pPr>
      <m:oMathPara>
        <m:oMath>
          <m:r>
            <w:rPr>
              <w:rFonts w:ascii="Cambria Math" w:hAnsi="Cambria Math"/>
            </w:rPr>
            <m:t xml:space="preserve">udział kosztów logistyki w transporcie = </m:t>
          </m:r>
          <m:f>
            <m:fPr>
              <m:ctrlPr>
                <w:rPr>
                  <w:rFonts w:ascii="Cambria Math" w:hAnsi="Cambria Math"/>
                  <w:i/>
                </w:rPr>
              </m:ctrlPr>
            </m:fPr>
            <m:num>
              <m:r>
                <w:rPr>
                  <w:rFonts w:ascii="Cambria Math" w:hAnsi="Cambria Math"/>
                </w:rPr>
                <m:t xml:space="preserve">koszty transportu </m:t>
              </m:r>
            </m:num>
            <m:den>
              <m:r>
                <w:rPr>
                  <w:rFonts w:ascii="Cambria Math" w:hAnsi="Cambria Math"/>
                </w:rPr>
                <m:t>obrót</m:t>
              </m:r>
            </m:den>
          </m:f>
          <m:r>
            <w:rPr>
              <w:rFonts w:ascii="Cambria Math" w:hAnsi="Cambria Math"/>
            </w:rPr>
            <m:t xml:space="preserve"> ×100</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Pr="00C913FF" w:rsidRDefault="00B83BCF" w:rsidP="00B83BCF">
      <w:pPr>
        <w:spacing w:after="0" w:line="240" w:lineRule="auto"/>
        <w:jc w:val="both"/>
        <w:rPr>
          <w:rFonts w:eastAsiaTheme="minorEastAsia"/>
        </w:rPr>
      </w:pPr>
      <m:oMathPara>
        <m:oMath>
          <m:r>
            <w:rPr>
              <w:rFonts w:ascii="Cambria Math" w:hAnsi="Cambria Math"/>
            </w:rPr>
            <m:t xml:space="preserve">udział kosztów logistyki w obrocie magazynowania = </m:t>
          </m:r>
          <m:f>
            <m:fPr>
              <m:ctrlPr>
                <w:rPr>
                  <w:rFonts w:ascii="Cambria Math" w:hAnsi="Cambria Math"/>
                  <w:i/>
                </w:rPr>
              </m:ctrlPr>
            </m:fPr>
            <m:num>
              <m:r>
                <w:rPr>
                  <w:rFonts w:ascii="Cambria Math" w:hAnsi="Cambria Math"/>
                </w:rPr>
                <m:t>koszty magazynowania</m:t>
              </m:r>
            </m:num>
            <m:den>
              <m:r>
                <w:rPr>
                  <w:rFonts w:ascii="Cambria Math" w:hAnsi="Cambria Math"/>
                </w:rPr>
                <m:t>obrót</m:t>
              </m:r>
            </m:den>
          </m:f>
          <m:r>
            <w:rPr>
              <w:rFonts w:ascii="Cambria Math" w:hAnsi="Cambria Math"/>
            </w:rPr>
            <m:t xml:space="preserve"> ×100</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Pr="00C913FF" w:rsidRDefault="00B83BCF" w:rsidP="00B83BCF">
      <w:pPr>
        <w:spacing w:after="0" w:line="240" w:lineRule="auto"/>
        <w:jc w:val="both"/>
        <w:rPr>
          <w:rFonts w:eastAsiaTheme="minorEastAsia"/>
        </w:rPr>
      </w:pPr>
      <m:oMathPara>
        <m:oMath>
          <m:r>
            <w:rPr>
              <w:rFonts w:ascii="Cambria Math" w:eastAsiaTheme="minorEastAsia" w:hAnsi="Cambria Math"/>
            </w:rPr>
            <m:t xml:space="preserve">udział kosztów logistyki w administracji = </m:t>
          </m:r>
          <m:f>
            <m:fPr>
              <m:ctrlPr>
                <w:rPr>
                  <w:rFonts w:ascii="Cambria Math" w:eastAsiaTheme="minorEastAsia" w:hAnsi="Cambria Math"/>
                  <w:i/>
                </w:rPr>
              </m:ctrlPr>
            </m:fPr>
            <m:num>
              <m:r>
                <w:rPr>
                  <w:rFonts w:ascii="Cambria Math" w:eastAsiaTheme="minorEastAsia" w:hAnsi="Cambria Math"/>
                </w:rPr>
                <m:t>koszty administracji obszaru logistyki</m:t>
              </m:r>
            </m:num>
            <m:den>
              <m:r>
                <w:rPr>
                  <w:rFonts w:ascii="Cambria Math" w:eastAsiaTheme="minorEastAsia" w:hAnsi="Cambria Math"/>
                </w:rPr>
                <m:t>obrót</m:t>
              </m:r>
            </m:den>
          </m:f>
          <m:r>
            <w:rPr>
              <w:rFonts w:ascii="Cambria Math" w:eastAsiaTheme="minorEastAsia" w:hAnsi="Cambria Math"/>
            </w:rPr>
            <m:t xml:space="preserve"> ×100</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Pr="00773E30" w:rsidRDefault="00B83BCF" w:rsidP="00B83BCF">
      <w:pPr>
        <w:spacing w:after="0" w:line="240" w:lineRule="auto"/>
        <w:jc w:val="both"/>
        <w:rPr>
          <w:rFonts w:eastAsiaTheme="minorEastAsia"/>
        </w:rPr>
      </w:pPr>
      <m:oMathPara>
        <m:oMath>
          <m:r>
            <w:rPr>
              <w:rFonts w:ascii="Cambria Math" w:eastAsiaTheme="minorEastAsia" w:hAnsi="Cambria Math"/>
            </w:rPr>
            <m:t xml:space="preserve">udział kosztów logistyki w kapitale zamrożonym w zapasach = </m:t>
          </m:r>
          <m:f>
            <m:fPr>
              <m:ctrlPr>
                <w:rPr>
                  <w:rFonts w:ascii="Cambria Math" w:eastAsiaTheme="minorEastAsia" w:hAnsi="Cambria Math"/>
                  <w:i/>
                </w:rPr>
              </m:ctrlPr>
            </m:fPr>
            <m:num>
              <m:r>
                <w:rPr>
                  <w:rFonts w:ascii="Cambria Math" w:eastAsiaTheme="minorEastAsia" w:hAnsi="Cambria Math"/>
                </w:rPr>
                <m:t>koszty kapitału zamrożonego w zapasach</m:t>
              </m:r>
            </m:num>
            <m:den>
              <m:r>
                <w:rPr>
                  <w:rFonts w:ascii="Cambria Math" w:eastAsiaTheme="minorEastAsia" w:hAnsi="Cambria Math"/>
                </w:rPr>
                <m:t>obrót</m:t>
              </m:r>
            </m:den>
          </m:f>
          <m:r>
            <w:rPr>
              <w:rFonts w:ascii="Cambria Math" w:eastAsiaTheme="minorEastAsia" w:hAnsi="Cambria Math"/>
            </w:rPr>
            <m:t xml:space="preserve"> ×100</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Pr="00FB7CDC" w:rsidRDefault="00B83BCF" w:rsidP="00B83BCF">
      <w:pPr>
        <w:spacing w:after="0" w:line="240" w:lineRule="auto"/>
        <w:jc w:val="both"/>
        <w:rPr>
          <w:rFonts w:eastAsiaTheme="minorEastAsia"/>
        </w:rPr>
      </w:pPr>
      <m:oMathPara>
        <m:oMath>
          <m:r>
            <w:rPr>
              <w:rFonts w:ascii="Cambria Math" w:eastAsiaTheme="minorEastAsia" w:hAnsi="Cambria Math"/>
            </w:rPr>
            <m:t xml:space="preserve">udział kosztów logistyki w kosztach ogółem = </m:t>
          </m:r>
          <m:f>
            <m:fPr>
              <m:ctrlPr>
                <w:rPr>
                  <w:rFonts w:ascii="Cambria Math" w:eastAsiaTheme="minorEastAsia" w:hAnsi="Cambria Math"/>
                  <w:i/>
                </w:rPr>
              </m:ctrlPr>
            </m:fPr>
            <m:num>
              <m:r>
                <w:rPr>
                  <w:rFonts w:ascii="Cambria Math" w:eastAsiaTheme="minorEastAsia" w:hAnsi="Cambria Math"/>
                </w:rPr>
                <m:t>całkowite koszty logistyki</m:t>
              </m:r>
            </m:num>
            <m:den>
              <m:r>
                <w:rPr>
                  <w:rFonts w:ascii="Cambria Math" w:eastAsiaTheme="minorEastAsia" w:hAnsi="Cambria Math"/>
                </w:rPr>
                <m:t>koszty ogółem</m:t>
              </m:r>
            </m:den>
          </m:f>
          <m:r>
            <w:rPr>
              <w:rFonts w:ascii="Cambria Math" w:eastAsiaTheme="minorEastAsia" w:hAnsi="Cambria Math"/>
            </w:rPr>
            <m:t xml:space="preserve"> ×100</m:t>
          </m:r>
        </m:oMath>
      </m:oMathPara>
    </w:p>
    <w:p w:rsidR="00B83BCF" w:rsidRDefault="00B83BCF" w:rsidP="00B83BCF">
      <w:pPr>
        <w:spacing w:after="0" w:line="240" w:lineRule="auto"/>
        <w:jc w:val="both"/>
        <w:rPr>
          <w:rFonts w:eastAsiaTheme="minorEastAsia"/>
        </w:rPr>
      </w:pPr>
    </w:p>
    <w:p w:rsidR="00B83BCF" w:rsidRDefault="00B83BCF" w:rsidP="00B83BCF">
      <w:pPr>
        <w:spacing w:after="0" w:line="240" w:lineRule="auto"/>
        <w:jc w:val="both"/>
        <w:rPr>
          <w:rFonts w:eastAsiaTheme="minorEastAsia"/>
        </w:rPr>
      </w:pPr>
    </w:p>
    <w:p w:rsidR="00B83BCF" w:rsidRDefault="00B83BCF" w:rsidP="000B58D9">
      <w:pPr>
        <w:spacing w:after="0" w:line="240" w:lineRule="auto"/>
        <w:jc w:val="both"/>
        <w:rPr>
          <w:rFonts w:eastAsiaTheme="minorEastAsia"/>
        </w:rPr>
      </w:pPr>
    </w:p>
    <w:p w:rsidR="0027537B" w:rsidRDefault="0027537B" w:rsidP="000B58D9">
      <w:pPr>
        <w:spacing w:after="0" w:line="240" w:lineRule="auto"/>
        <w:jc w:val="both"/>
        <w:rPr>
          <w:rFonts w:eastAsiaTheme="minorEastAsia"/>
        </w:rPr>
      </w:pPr>
      <w:r w:rsidRPr="00937FE4">
        <w:rPr>
          <w:rFonts w:eastAsiaTheme="minorEastAsia"/>
          <w:u w:val="single"/>
        </w:rPr>
        <w:t>Wskaźniki rot</w:t>
      </w:r>
      <w:r>
        <w:rPr>
          <w:rFonts w:eastAsiaTheme="minorEastAsia"/>
        </w:rPr>
        <w:t xml:space="preserve">acji </w:t>
      </w:r>
      <w:r w:rsidR="00524517">
        <w:rPr>
          <w:rFonts w:eastAsiaTheme="minorEastAsia"/>
        </w:rPr>
        <w:t>(obrotu)</w:t>
      </w:r>
      <w:r w:rsidR="00A5575C">
        <w:rPr>
          <w:rFonts w:eastAsiaTheme="minorEastAsia"/>
        </w:rPr>
        <w:t xml:space="preserve"> określają relację przychodów ze sprzedaży do zasobów lub kapitałów przedsiębiorstwa. </w:t>
      </w:r>
    </w:p>
    <w:p w:rsidR="00937FE4" w:rsidRDefault="00937FE4" w:rsidP="000B58D9">
      <w:pPr>
        <w:spacing w:after="0" w:line="240" w:lineRule="auto"/>
        <w:jc w:val="both"/>
        <w:rPr>
          <w:rFonts w:eastAsiaTheme="minorEastAsia"/>
          <w:u w:val="single"/>
        </w:rPr>
      </w:pPr>
    </w:p>
    <w:p w:rsidR="00A5575C" w:rsidRDefault="00A5575C" w:rsidP="000B58D9">
      <w:pPr>
        <w:spacing w:after="0" w:line="240" w:lineRule="auto"/>
        <w:jc w:val="both"/>
        <w:rPr>
          <w:rFonts w:eastAsiaTheme="minorEastAsia"/>
        </w:rPr>
      </w:pPr>
      <w:r w:rsidRPr="00937FE4">
        <w:rPr>
          <w:rFonts w:eastAsiaTheme="minorEastAsia"/>
          <w:u w:val="single"/>
        </w:rPr>
        <w:t>Wskaźnik rotacji aktywów</w:t>
      </w:r>
      <w:r>
        <w:rPr>
          <w:rFonts w:eastAsiaTheme="minorEastAsia"/>
        </w:rPr>
        <w:t xml:space="preserve"> określa ile razy przychód ze sprzedaży jest większy od średniego stanu posiadanych przez przedsiębiorstwo aktywów. Wskaźnik pokazuje efektywność wykorzystania aktywów uczestniczących w tworzeniu </w:t>
      </w:r>
      <w:r w:rsidR="00937FE4">
        <w:rPr>
          <w:rFonts w:eastAsiaTheme="minorEastAsia"/>
        </w:rPr>
        <w:t>wartości sprzedaży, tzn. ile złotych przynosi 1 zł majątku przedsiębiorstwa. Im wyższa wartość wskaźnika, tym przedsiębiorstwo lepiej wykorzystuje aktywa             w działalności gospodarczej.</w:t>
      </w:r>
    </w:p>
    <w:p w:rsidR="00937FE4" w:rsidRDefault="00937FE4" w:rsidP="000B58D9">
      <w:pPr>
        <w:spacing w:after="0" w:line="240" w:lineRule="auto"/>
        <w:jc w:val="both"/>
        <w:rPr>
          <w:rFonts w:eastAsiaTheme="minorEastAsia"/>
        </w:rPr>
      </w:pPr>
    </w:p>
    <w:p w:rsidR="00937FE4" w:rsidRPr="00937FE4" w:rsidRDefault="00937FE4" w:rsidP="000B58D9">
      <w:pPr>
        <w:spacing w:after="0" w:line="240" w:lineRule="auto"/>
        <w:jc w:val="both"/>
        <w:rPr>
          <w:rFonts w:eastAsiaTheme="minorEastAsia"/>
        </w:rPr>
      </w:pPr>
      <m:oMathPara>
        <m:oMath>
          <m:r>
            <w:rPr>
              <w:rFonts w:ascii="Cambria Math" w:hAnsi="Cambria Math"/>
            </w:rPr>
            <w:lastRenderedPageBreak/>
            <m:t xml:space="preserve">wskaźnik rotacji aktywów trwałych = </m:t>
          </m:r>
          <m:f>
            <m:fPr>
              <m:ctrlPr>
                <w:rPr>
                  <w:rFonts w:ascii="Cambria Math" w:hAnsi="Cambria Math"/>
                  <w:i/>
                </w:rPr>
              </m:ctrlPr>
            </m:fPr>
            <m:num>
              <m:r>
                <w:rPr>
                  <w:rFonts w:ascii="Cambria Math" w:hAnsi="Cambria Math"/>
                </w:rPr>
                <m:t xml:space="preserve">przychody ze sprzedaży </m:t>
              </m:r>
            </m:num>
            <m:den>
              <m:r>
                <w:rPr>
                  <w:rFonts w:ascii="Cambria Math" w:hAnsi="Cambria Math"/>
                </w:rPr>
                <m:t>średni stan aktywów trwałych</m:t>
              </m:r>
            </m:den>
          </m:f>
        </m:oMath>
      </m:oMathPara>
    </w:p>
    <w:p w:rsidR="00937FE4" w:rsidRDefault="00937FE4" w:rsidP="000B58D9">
      <w:pPr>
        <w:spacing w:after="0" w:line="240" w:lineRule="auto"/>
        <w:jc w:val="both"/>
        <w:rPr>
          <w:rFonts w:eastAsiaTheme="minorEastAsia"/>
        </w:rPr>
      </w:pPr>
    </w:p>
    <w:p w:rsidR="00937FE4" w:rsidRDefault="00937FE4" w:rsidP="000B58D9">
      <w:pPr>
        <w:spacing w:after="0" w:line="240" w:lineRule="auto"/>
        <w:jc w:val="both"/>
        <w:rPr>
          <w:rFonts w:eastAsiaTheme="minorEastAsia"/>
        </w:rPr>
      </w:pPr>
      <w:r>
        <w:rPr>
          <w:rFonts w:eastAsiaTheme="minorEastAsia"/>
        </w:rPr>
        <w:t>Średnia wartość aktywów trwałych jest wartością zgodna z podaną w bilansie, czyli wartością netto. Jeżeli zatem starzeją się urządzenia magazynowe czy środki transportu i poprzez coroczne odpisy amortyzacyjne, maleje wartość aktywów trwałych, wówczas wartość wskaźnika rotacji aktywów trwałych rośnie</w:t>
      </w:r>
      <w:r w:rsidR="007C4166">
        <w:rPr>
          <w:rFonts w:eastAsiaTheme="minorEastAsia"/>
        </w:rPr>
        <w:t xml:space="preserve"> pomimo np. braku wzrostu przychodów ze sprzedaży. Wyższa rotacja w stosunku do przedsiębiorstwa posiadającego nowoczesne i bardziej wydajne urządzenia (dla którego wskaźnik rotacji będzie niższy ze względu na wyższą wartość aktywów trwałych) nie będzie zatem oznaczała lepszej pozycji konkurencyjnej, niezawodności i sprawności działania, wyższej produktywności. Oznacza natomiast np. jeśli wskaźnik wynosi 5 to znaczy, ze 1 zł zaangażowany w majątek trwały przedsiębiorstwa, przynosi 5 złotych wartości sprzedaży.</w:t>
      </w:r>
    </w:p>
    <w:p w:rsidR="00774F82" w:rsidRDefault="00774F82" w:rsidP="000B58D9">
      <w:pPr>
        <w:spacing w:after="0" w:line="240" w:lineRule="auto"/>
        <w:jc w:val="both"/>
        <w:rPr>
          <w:rFonts w:eastAsiaTheme="minorEastAsia"/>
        </w:rPr>
      </w:pPr>
    </w:p>
    <w:p w:rsidR="00774F82" w:rsidRDefault="00774F82" w:rsidP="000B58D9">
      <w:pPr>
        <w:spacing w:after="0" w:line="240" w:lineRule="auto"/>
        <w:jc w:val="both"/>
        <w:rPr>
          <w:rFonts w:eastAsiaTheme="minorEastAsia"/>
        </w:rPr>
      </w:pPr>
      <w:r>
        <w:rPr>
          <w:rFonts w:eastAsiaTheme="minorEastAsia"/>
        </w:rPr>
        <w:t>Jeżeli struktura aktywów w bilansie przedsiębiorstwa wskazuje na znaczący i przeważający udział aktywów obrotowych (np. w przedsiębiorstwie handlowym), wówczas istotna jest analiza wskaźnika rotacji aktywów obrotowych.</w:t>
      </w:r>
    </w:p>
    <w:p w:rsidR="00774F82" w:rsidRDefault="00774F82" w:rsidP="000B58D9">
      <w:pPr>
        <w:spacing w:after="0" w:line="240" w:lineRule="auto"/>
        <w:jc w:val="both"/>
        <w:rPr>
          <w:rFonts w:eastAsiaTheme="minorEastAsia"/>
        </w:rPr>
      </w:pPr>
    </w:p>
    <w:p w:rsidR="00774F82" w:rsidRDefault="00774F82" w:rsidP="000B58D9">
      <w:pPr>
        <w:spacing w:after="0" w:line="240" w:lineRule="auto"/>
        <w:jc w:val="both"/>
        <w:rPr>
          <w:rFonts w:eastAsiaTheme="minorEastAsia"/>
        </w:rPr>
      </w:pPr>
    </w:p>
    <w:p w:rsidR="00774F82" w:rsidRPr="00774F82" w:rsidRDefault="00774F82" w:rsidP="000B58D9">
      <w:pPr>
        <w:spacing w:after="0" w:line="240" w:lineRule="auto"/>
        <w:jc w:val="both"/>
        <w:rPr>
          <w:rFonts w:eastAsiaTheme="minorEastAsia"/>
        </w:rPr>
      </w:pPr>
      <m:oMathPara>
        <m:oMath>
          <m:r>
            <w:rPr>
              <w:rFonts w:ascii="Cambria Math" w:eastAsiaTheme="minorEastAsia" w:hAnsi="Cambria Math"/>
            </w:rPr>
            <m:t xml:space="preserve">wskaźnik rotacji aktywów obrotowych= </m:t>
          </m:r>
          <m:f>
            <m:fPr>
              <m:ctrlPr>
                <w:rPr>
                  <w:rFonts w:ascii="Cambria Math" w:eastAsiaTheme="minorEastAsia" w:hAnsi="Cambria Math"/>
                  <w:i/>
                </w:rPr>
              </m:ctrlPr>
            </m:fPr>
            <m:num>
              <m:r>
                <w:rPr>
                  <w:rFonts w:ascii="Cambria Math" w:eastAsiaTheme="minorEastAsia" w:hAnsi="Cambria Math"/>
                </w:rPr>
                <m:t>przychody netto ze sprzedaży</m:t>
              </m:r>
            </m:num>
            <m:den>
              <m:r>
                <w:rPr>
                  <w:rFonts w:ascii="Cambria Math" w:eastAsiaTheme="minorEastAsia" w:hAnsi="Cambria Math"/>
                </w:rPr>
                <m:t>średni stan aktywów obrotowych</m:t>
              </m:r>
            </m:den>
          </m:f>
        </m:oMath>
      </m:oMathPara>
    </w:p>
    <w:p w:rsidR="00774F82" w:rsidRDefault="00774F82" w:rsidP="000B58D9">
      <w:pPr>
        <w:spacing w:after="0" w:line="240" w:lineRule="auto"/>
        <w:jc w:val="both"/>
        <w:rPr>
          <w:rFonts w:eastAsiaTheme="minorEastAsia"/>
        </w:rPr>
      </w:pPr>
    </w:p>
    <w:p w:rsidR="00186E3E" w:rsidRDefault="00774F82" w:rsidP="000B58D9">
      <w:pPr>
        <w:spacing w:after="0" w:line="240" w:lineRule="auto"/>
        <w:jc w:val="both"/>
        <w:rPr>
          <w:rFonts w:eastAsiaTheme="minorEastAsia"/>
        </w:rPr>
      </w:pPr>
      <w:r>
        <w:rPr>
          <w:rFonts w:eastAsiaTheme="minorEastAsia"/>
        </w:rPr>
        <w:t>Informuje on ile razy w ciągu roku następuje odtworzenie aktywów obrotowych poprzez sprzedaż materiałów, towarów i produktów. Im wyższa wartość wskaźnika, tym krótszy jest cykl roczny liczony w dniach odtworzenia aktywów obrotowych</w:t>
      </w:r>
      <w:r w:rsidR="00186E3E">
        <w:rPr>
          <w:rFonts w:eastAsiaTheme="minorEastAsia"/>
        </w:rPr>
        <w:t>. Z</w:t>
      </w:r>
      <w:r>
        <w:rPr>
          <w:rFonts w:eastAsiaTheme="minorEastAsia"/>
        </w:rPr>
        <w:t xml:space="preserve">byt wysoki wskaźnik </w:t>
      </w:r>
      <w:r w:rsidR="00186E3E">
        <w:rPr>
          <w:rFonts w:eastAsiaTheme="minorEastAsia"/>
        </w:rPr>
        <w:t xml:space="preserve">rotacji może grozić brakiem zabezpieczenia ciągłości produkcji lub sprzedaży, natomiast zbyt niski – zbyt dużym kapitałem zamrożonym w nierotujących aktywach obrotowych. </w:t>
      </w:r>
    </w:p>
    <w:p w:rsidR="00186E3E" w:rsidRDefault="00186E3E" w:rsidP="000B58D9">
      <w:pPr>
        <w:spacing w:after="0" w:line="240" w:lineRule="auto"/>
        <w:jc w:val="both"/>
        <w:rPr>
          <w:rFonts w:eastAsiaTheme="minorEastAsia"/>
        </w:rPr>
      </w:pPr>
    </w:p>
    <w:p w:rsidR="00774F82" w:rsidRPr="00DC347C" w:rsidRDefault="00186E3E" w:rsidP="000B58D9">
      <w:pPr>
        <w:spacing w:after="0" w:line="240" w:lineRule="auto"/>
        <w:jc w:val="both"/>
        <w:rPr>
          <w:rFonts w:eastAsiaTheme="minorEastAsia"/>
          <w:u w:val="single"/>
        </w:rPr>
      </w:pPr>
      <w:r w:rsidRPr="00DC347C">
        <w:rPr>
          <w:rFonts w:eastAsiaTheme="minorEastAsia"/>
          <w:u w:val="single"/>
        </w:rPr>
        <w:t>Istotne dla operacyjnego zarządzania logistyką, w strukturze aktywów obrotowych, są pozycje zapasów i należności.</w:t>
      </w:r>
    </w:p>
    <w:p w:rsidR="00E54F86" w:rsidRDefault="00E54F86" w:rsidP="000B58D9">
      <w:pPr>
        <w:spacing w:after="0" w:line="240" w:lineRule="auto"/>
        <w:jc w:val="both"/>
        <w:rPr>
          <w:rFonts w:eastAsiaTheme="minorEastAsia"/>
        </w:rPr>
      </w:pPr>
    </w:p>
    <w:p w:rsidR="00E54F86" w:rsidRPr="00E54F86" w:rsidRDefault="00E54F86" w:rsidP="000B58D9">
      <w:pPr>
        <w:spacing w:after="0" w:line="240" w:lineRule="auto"/>
        <w:jc w:val="both"/>
        <w:rPr>
          <w:rFonts w:eastAsiaTheme="minorEastAsia"/>
        </w:rPr>
      </w:pPr>
      <m:oMathPara>
        <m:oMath>
          <m:r>
            <w:rPr>
              <w:rFonts w:ascii="Cambria Math" w:eastAsiaTheme="minorEastAsia" w:hAnsi="Cambria Math"/>
            </w:rPr>
            <m:t xml:space="preserve">wskaźnik rotacji zapasów </m:t>
          </m:r>
          <m:d>
            <m:dPr>
              <m:ctrlPr>
                <w:rPr>
                  <w:rFonts w:ascii="Cambria Math" w:eastAsiaTheme="minorEastAsia" w:hAnsi="Cambria Math"/>
                  <w:i/>
                </w:rPr>
              </m:ctrlPr>
            </m:dPr>
            <m:e>
              <m:r>
                <w:rPr>
                  <w:rFonts w:ascii="Cambria Math" w:eastAsiaTheme="minorEastAsia" w:hAnsi="Cambria Math"/>
                </w:rPr>
                <m:t>wyrobów gotowych, materiałów</m:t>
              </m:r>
            </m:e>
          </m:d>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przychody netto ze sprzedaży</m:t>
              </m:r>
            </m:num>
            <m:den>
              <m:r>
                <w:rPr>
                  <w:rFonts w:ascii="Cambria Math" w:eastAsiaTheme="minorEastAsia" w:hAnsi="Cambria Math"/>
                </w:rPr>
                <m:t>średni stan zapasów (wyrobów gotowych, materiałów)</m:t>
              </m:r>
            </m:den>
          </m:f>
        </m:oMath>
      </m:oMathPara>
    </w:p>
    <w:p w:rsidR="00E54F86" w:rsidRDefault="00E54F86" w:rsidP="000B58D9">
      <w:pPr>
        <w:spacing w:after="0" w:line="240" w:lineRule="auto"/>
        <w:jc w:val="both"/>
        <w:rPr>
          <w:rFonts w:eastAsiaTheme="minorEastAsia"/>
        </w:rPr>
      </w:pPr>
    </w:p>
    <w:p w:rsidR="00E54F86" w:rsidRDefault="00E54F86" w:rsidP="000B58D9">
      <w:pPr>
        <w:spacing w:after="0" w:line="240" w:lineRule="auto"/>
        <w:jc w:val="both"/>
        <w:rPr>
          <w:rFonts w:eastAsiaTheme="minorEastAsia"/>
        </w:rPr>
      </w:pPr>
      <w:r>
        <w:rPr>
          <w:rFonts w:eastAsiaTheme="minorEastAsia"/>
        </w:rPr>
        <w:t xml:space="preserve">Wskaźnik ten określa zdolność zachowania ciągłości sprzedaży (rotacja zapasów wyrobów) lub zachowania ciągłości produkcji (rotacja zapasów materiałów). Określa on ile razy w ciągu roku odtwarzany jest średni stan zapasów. Zbyt niski wskaźnik rotacji może być wynikiem utrzymywania zapasów nadmiernych, zbyt długo </w:t>
      </w:r>
      <w:r w:rsidR="00676D09">
        <w:rPr>
          <w:rFonts w:eastAsiaTheme="minorEastAsia"/>
        </w:rPr>
        <w:t>zalegających</w:t>
      </w:r>
      <w:r>
        <w:rPr>
          <w:rFonts w:eastAsiaTheme="minorEastAsia"/>
        </w:rPr>
        <w:t xml:space="preserve"> w magazynie, a także efektem nieodpowiedniej wielkości i struktury asortymentowej produkcji w stosunku do wymagań rynku.</w:t>
      </w:r>
    </w:p>
    <w:p w:rsidR="00B114DC" w:rsidRDefault="00B114DC" w:rsidP="000B58D9">
      <w:pPr>
        <w:spacing w:after="0" w:line="240" w:lineRule="auto"/>
        <w:jc w:val="both"/>
        <w:rPr>
          <w:rFonts w:eastAsiaTheme="minorEastAsia"/>
        </w:rPr>
      </w:pPr>
    </w:p>
    <w:p w:rsidR="00B114DC" w:rsidRDefault="00B114DC" w:rsidP="000B58D9">
      <w:pPr>
        <w:spacing w:after="0" w:line="240" w:lineRule="auto"/>
        <w:jc w:val="both"/>
        <w:rPr>
          <w:rFonts w:eastAsiaTheme="minorEastAsia"/>
        </w:rPr>
      </w:pPr>
      <w:r>
        <w:rPr>
          <w:rFonts w:eastAsiaTheme="minorEastAsia"/>
        </w:rPr>
        <w:t>Wysoki wskaźnik rotacji zapasów</w:t>
      </w:r>
      <w:r w:rsidR="002C71AF">
        <w:rPr>
          <w:rFonts w:eastAsiaTheme="minorEastAsia"/>
        </w:rPr>
        <w:t xml:space="preserve"> oznacza najczęściej niski stan zapasów magazynowych i częste ich odtwarzanie, a niski koszt zamrożenia kapitału w zapasie, zmniejsza zapotrzebowanie na wielkość kapitału pracującego. Częste odtwarzanie zapasów może jednak oznaczać wysokie koszty realizacji częstych i drobnych zamówień oraz ryzyko niedoborów i zagrożenie dla ciągłości produkcji lub sprzedaży.</w:t>
      </w:r>
    </w:p>
    <w:p w:rsidR="002C71AF" w:rsidRDefault="002C71AF" w:rsidP="000B58D9">
      <w:pPr>
        <w:spacing w:after="0" w:line="240" w:lineRule="auto"/>
        <w:jc w:val="both"/>
        <w:rPr>
          <w:rFonts w:eastAsiaTheme="minorEastAsia"/>
        </w:rPr>
      </w:pPr>
    </w:p>
    <w:p w:rsidR="002C71AF" w:rsidRDefault="002C71AF" w:rsidP="000B58D9">
      <w:pPr>
        <w:spacing w:after="0" w:line="240" w:lineRule="auto"/>
        <w:jc w:val="both"/>
        <w:rPr>
          <w:rFonts w:eastAsiaTheme="minorEastAsia"/>
        </w:rPr>
      </w:pPr>
      <w:r>
        <w:rPr>
          <w:rFonts w:eastAsiaTheme="minorEastAsia"/>
        </w:rPr>
        <w:t xml:space="preserve">Podział asortymentu na grupy wg wskaźnika rotacji wykorzystywany jest także do ustalenia miejsca składowania w magazynie – asortyment o wysokim stopniu rotacji jest składowany w miejscu łatwo dostępnym przy drodze transportowej. </w:t>
      </w:r>
    </w:p>
    <w:p w:rsidR="002C71AF" w:rsidRDefault="002C71AF"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r w:rsidRPr="00986F19">
        <w:rPr>
          <w:rFonts w:eastAsiaTheme="minorEastAsia"/>
          <w:noProof/>
          <w:lang w:eastAsia="pl-PL"/>
        </w:rPr>
        <w:lastRenderedPageBreak/>
        <mc:AlternateContent>
          <mc:Choice Requires="wps">
            <w:drawing>
              <wp:anchor distT="0" distB="0" distL="114300" distR="114300" simplePos="0" relativeHeight="251669504" behindDoc="0" locked="0" layoutInCell="1" allowOverlap="1" wp14:anchorId="5328A70C" wp14:editId="599D626E">
                <wp:simplePos x="0" y="0"/>
                <wp:positionH relativeFrom="column">
                  <wp:posOffset>-22860</wp:posOffset>
                </wp:positionH>
                <wp:positionV relativeFrom="paragraph">
                  <wp:posOffset>119380</wp:posOffset>
                </wp:positionV>
                <wp:extent cx="5734050" cy="1403985"/>
                <wp:effectExtent l="0" t="0" r="19050" b="22225"/>
                <wp:wrapNone/>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403985"/>
                        </a:xfrm>
                        <a:prstGeom prst="rect">
                          <a:avLst/>
                        </a:prstGeom>
                        <a:solidFill>
                          <a:srgbClr val="FFFFFF"/>
                        </a:solidFill>
                        <a:ln w="9525">
                          <a:solidFill>
                            <a:srgbClr val="000000"/>
                          </a:solidFill>
                          <a:miter lim="800000"/>
                          <a:headEnd/>
                          <a:tailEnd/>
                        </a:ln>
                      </wps:spPr>
                      <wps:txbx>
                        <w:txbxContent>
                          <w:p w:rsidR="004E40E2" w:rsidRDefault="004E40E2" w:rsidP="00986F19">
                            <w:pPr>
                              <w:spacing w:after="0" w:line="240" w:lineRule="auto"/>
                              <w:jc w:val="both"/>
                            </w:pPr>
                            <w:r>
                              <w:t>Wskaźnik rotacji zapasów liczony na podstawie dokumentów finansowych – bilansu otwarcia i bilansu zamknięcia, różni się od tego wskaźnika wynikającego z rzeczywistych  stanów magazynowych rejestrowanych w magazynie. Różnica wynika ze sposobu liczenia średniego zapasu, w przypadku dokumentów księgowych, jest liczony jako wartość średnia stanów zapasu z początku i końca roku, co nie odzwierciedla sytuacji jaka miała miejsce w ciągu roku. Średni stan magazynowy liczony jest na podstawie rzeczywistych stanów magazynowych – np. suma wszystkich poziomów dziennych zapasu podzielona przez 365 dni.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8pt;margin-top:9.4pt;width:451.5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">
                <v:textbox style="mso-fit-shape-to-text:t">
                  <w:txbxContent>
                    <w:p w:rsidR="004E40E2" w:rsidRDefault="004E40E2" w:rsidP="00986F19">
                      <w:pPr>
                        <w:spacing w:after="0" w:line="240" w:lineRule="auto"/>
                        <w:jc w:val="both"/>
                      </w:pPr>
                      <w:r>
                        <w:t>Wskaźnik rotacji zapasów liczony na podstawie dokumentów finansowych – bilansu otwarcia i bilansu zamknięcia, różni się od tego wskaźnika wynikającego z rzeczywistych  stanów magazynowych rejestrowanych w magazynie. Różnica wynika ze sposobu liczenia średniego zapasu, w przypadku dokumentów księgowych, jest liczony jako wartość średnia stanów zapasu z początku i końca roku, co nie odzwierciedla sytuacji jaka miała miejsce w ciągu roku. Średni stan magazynowy liczony jest na podstawie rzeczywistych stanów magazynowych – np. suma wszystkich poziomów dziennych zapasu podzielona przez 365 dni.</w:t>
                      </w:r>
                    </w:p>
                  </w:txbxContent>
                </v:textbox>
              </v:shape>
            </w:pict>
          </mc:Fallback>
        </mc:AlternateContent>
      </w: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986F19" w:rsidRDefault="00986F19" w:rsidP="000B58D9">
      <w:pPr>
        <w:spacing w:after="0" w:line="240" w:lineRule="auto"/>
        <w:jc w:val="both"/>
        <w:rPr>
          <w:rFonts w:eastAsiaTheme="minorEastAsia"/>
        </w:rPr>
      </w:pPr>
    </w:p>
    <w:p w:rsidR="002C71AF" w:rsidRDefault="002C71AF" w:rsidP="000B58D9">
      <w:pPr>
        <w:spacing w:after="0" w:line="240" w:lineRule="auto"/>
        <w:jc w:val="both"/>
        <w:rPr>
          <w:rFonts w:eastAsiaTheme="minorEastAsia"/>
        </w:rPr>
      </w:pPr>
      <w:r>
        <w:rPr>
          <w:rFonts w:eastAsiaTheme="minorEastAsia"/>
        </w:rPr>
        <w:t>Do określenia</w:t>
      </w:r>
      <w:r w:rsidR="00967370">
        <w:rPr>
          <w:rFonts w:eastAsiaTheme="minorEastAsia"/>
        </w:rPr>
        <w:t xml:space="preserve"> zabezpieczenia ciągłości produkcji lub sprzedaży, pomocne są wskaźn</w:t>
      </w:r>
      <w:r w:rsidR="0001371C">
        <w:rPr>
          <w:rFonts w:eastAsiaTheme="minorEastAsia"/>
        </w:rPr>
        <w:t xml:space="preserve">iki operacyjne pokrycia zapasem produkcji lub sprzedaży, które wskazują, na ile dni produkcji lub sprzedaży wystarczą zapasy  materiałów lub wyrobów gotowych ( w magazynach, na składach, w transporcie, </w:t>
      </w:r>
      <w:r w:rsidR="00DC347C">
        <w:rPr>
          <w:rFonts w:eastAsiaTheme="minorEastAsia"/>
        </w:rPr>
        <w:t xml:space="preserve">           </w:t>
      </w:r>
      <w:r w:rsidR="0001371C">
        <w:rPr>
          <w:rFonts w:eastAsiaTheme="minorEastAsia"/>
        </w:rPr>
        <w:t>a dla sprzedaży – również zapasy na produkcji).</w:t>
      </w:r>
    </w:p>
    <w:p w:rsidR="0001371C" w:rsidRDefault="0001371C" w:rsidP="000B58D9">
      <w:pPr>
        <w:spacing w:after="0" w:line="240" w:lineRule="auto"/>
        <w:jc w:val="both"/>
        <w:rPr>
          <w:rFonts w:eastAsiaTheme="minorEastAsia"/>
        </w:rPr>
      </w:pPr>
    </w:p>
    <w:p w:rsidR="0001371C" w:rsidRPr="0001371C" w:rsidRDefault="0001371C" w:rsidP="000B58D9">
      <w:pPr>
        <w:spacing w:after="0" w:line="240" w:lineRule="auto"/>
        <w:jc w:val="both"/>
        <w:rPr>
          <w:rFonts w:eastAsiaTheme="minorEastAsia"/>
        </w:rPr>
      </w:pPr>
      <m:oMathPara>
        <m:oMath>
          <m:r>
            <w:rPr>
              <w:rFonts w:ascii="Cambria Math" w:eastAsiaTheme="minorEastAsia" w:hAnsi="Cambria Math"/>
            </w:rPr>
            <m:t xml:space="preserve">wskaźnik pokrycia zapasem </m:t>
          </m:r>
          <m:d>
            <m:dPr>
              <m:ctrlPr>
                <w:rPr>
                  <w:rFonts w:ascii="Cambria Math" w:eastAsiaTheme="minorEastAsia" w:hAnsi="Cambria Math"/>
                  <w:i/>
                </w:rPr>
              </m:ctrlPr>
            </m:dPr>
            <m:e>
              <m:r>
                <w:rPr>
                  <w:rFonts w:ascii="Cambria Math" w:eastAsiaTheme="minorEastAsia" w:hAnsi="Cambria Math"/>
                </w:rPr>
                <m:t>wyrobów gotowych, materiałów</m:t>
              </m:r>
            </m:e>
          </m:d>
          <m:r>
            <w:rPr>
              <w:rFonts w:ascii="Cambria Math" w:eastAsiaTheme="minorEastAsia" w:hAnsi="Cambria Math"/>
            </w:rPr>
            <m:t xml:space="preserve"> = </m:t>
          </m:r>
          <m:f>
            <m:fPr>
              <m:ctrlPr>
                <w:rPr>
                  <w:rFonts w:ascii="Cambria Math" w:eastAsiaTheme="minorEastAsia" w:hAnsi="Cambria Math"/>
                  <w:i/>
                </w:rPr>
              </m:ctrlPr>
            </m:fPr>
            <m:num>
              <m:r>
                <w:rPr>
                  <w:rFonts w:ascii="Cambria Math" w:eastAsiaTheme="minorEastAsia" w:hAnsi="Cambria Math"/>
                </w:rPr>
                <m:t>średni stan zapasów (wyrobów gotowych, materiałów)</m:t>
              </m:r>
            </m:num>
            <m:den>
              <m:r>
                <w:rPr>
                  <w:rFonts w:ascii="Cambria Math" w:eastAsiaTheme="minorEastAsia" w:hAnsi="Cambria Math"/>
                </w:rPr>
                <m:t>przychody netto ze sprzedaży</m:t>
              </m:r>
            </m:den>
          </m:f>
          <m:r>
            <w:rPr>
              <w:rFonts w:ascii="Cambria Math" w:eastAsiaTheme="minorEastAsia" w:hAnsi="Cambria Math"/>
            </w:rPr>
            <m:t xml:space="preserve"> ×365</m:t>
          </m:r>
        </m:oMath>
      </m:oMathPara>
    </w:p>
    <w:p w:rsidR="0001371C" w:rsidRDefault="0001371C" w:rsidP="000B58D9">
      <w:pPr>
        <w:spacing w:after="0" w:line="240" w:lineRule="auto"/>
        <w:jc w:val="both"/>
        <w:rPr>
          <w:rFonts w:eastAsiaTheme="minorEastAsia"/>
        </w:rPr>
      </w:pPr>
    </w:p>
    <w:p w:rsidR="0001371C" w:rsidRDefault="0001371C" w:rsidP="000B58D9">
      <w:pPr>
        <w:spacing w:after="0" w:line="240" w:lineRule="auto"/>
        <w:jc w:val="both"/>
        <w:rPr>
          <w:rFonts w:eastAsiaTheme="minorEastAsia"/>
        </w:rPr>
      </w:pPr>
    </w:p>
    <w:p w:rsidR="0001371C" w:rsidRPr="0001371C" w:rsidRDefault="0001371C" w:rsidP="000B58D9">
      <w:pPr>
        <w:spacing w:after="0" w:line="240" w:lineRule="auto"/>
        <w:jc w:val="both"/>
        <w:rPr>
          <w:rFonts w:eastAsiaTheme="minorEastAsia"/>
        </w:rPr>
      </w:pPr>
    </w:p>
    <w:p w:rsidR="0001371C" w:rsidRDefault="00DC347C" w:rsidP="000B58D9">
      <w:pPr>
        <w:spacing w:after="0" w:line="240" w:lineRule="auto"/>
        <w:jc w:val="both"/>
        <w:rPr>
          <w:rFonts w:eastAsiaTheme="minorEastAsia"/>
        </w:rPr>
      </w:pPr>
      <w:r>
        <w:rPr>
          <w:rFonts w:eastAsiaTheme="minorEastAsia"/>
        </w:rPr>
        <w:t>W analizie obrotu należnościami wykorzystywany jest wskaźnik rotacji należności, który określa ile razy w ciągu roku przedsiębiorstwo odtwarza stan swoich należności</w:t>
      </w:r>
      <w:r w:rsidR="00F75075">
        <w:rPr>
          <w:rFonts w:eastAsiaTheme="minorEastAsia"/>
        </w:rPr>
        <w:t>.</w:t>
      </w:r>
    </w:p>
    <w:p w:rsidR="00DC347C" w:rsidRDefault="00DC347C" w:rsidP="000B58D9">
      <w:pPr>
        <w:spacing w:after="0" w:line="240" w:lineRule="auto"/>
        <w:jc w:val="both"/>
        <w:rPr>
          <w:rFonts w:eastAsiaTheme="minorEastAsia"/>
        </w:rPr>
      </w:pPr>
    </w:p>
    <w:p w:rsidR="00DC347C" w:rsidRDefault="00DC347C" w:rsidP="000B58D9">
      <w:pPr>
        <w:spacing w:after="0" w:line="240" w:lineRule="auto"/>
        <w:jc w:val="both"/>
        <w:rPr>
          <w:rFonts w:eastAsiaTheme="minorEastAsia"/>
        </w:rPr>
      </w:pPr>
      <m:oMathPara>
        <m:oMath>
          <m:r>
            <w:rPr>
              <w:rFonts w:ascii="Cambria Math" w:eastAsiaTheme="minorEastAsia" w:hAnsi="Cambria Math"/>
            </w:rPr>
            <m:t xml:space="preserve">wskaźnik rotacji należności = </m:t>
          </m:r>
          <m:f>
            <m:fPr>
              <m:ctrlPr>
                <w:rPr>
                  <w:rFonts w:ascii="Cambria Math" w:eastAsiaTheme="minorEastAsia" w:hAnsi="Cambria Math"/>
                  <w:i/>
                </w:rPr>
              </m:ctrlPr>
            </m:fPr>
            <m:num>
              <m:r>
                <w:rPr>
                  <w:rFonts w:ascii="Cambria Math" w:eastAsiaTheme="minorEastAsia" w:hAnsi="Cambria Math"/>
                </w:rPr>
                <m:t>przychody netto ze sprzedaży</m:t>
              </m:r>
            </m:num>
            <m:den>
              <m:r>
                <w:rPr>
                  <w:rFonts w:ascii="Cambria Math" w:eastAsiaTheme="minorEastAsia" w:hAnsi="Cambria Math"/>
                </w:rPr>
                <m:t>średni stan należności</m:t>
              </m:r>
            </m:den>
          </m:f>
        </m:oMath>
      </m:oMathPara>
    </w:p>
    <w:p w:rsidR="0001371C" w:rsidRDefault="0001371C" w:rsidP="000B58D9">
      <w:pPr>
        <w:spacing w:after="0" w:line="240" w:lineRule="auto"/>
        <w:jc w:val="both"/>
        <w:rPr>
          <w:rFonts w:eastAsiaTheme="minorEastAsia"/>
        </w:rPr>
      </w:pPr>
    </w:p>
    <w:p w:rsidR="0001371C" w:rsidRDefault="0001371C" w:rsidP="000B58D9">
      <w:pPr>
        <w:spacing w:after="0" w:line="240" w:lineRule="auto"/>
        <w:jc w:val="both"/>
        <w:rPr>
          <w:rFonts w:eastAsiaTheme="minorEastAsia"/>
        </w:rPr>
      </w:pPr>
    </w:p>
    <w:p w:rsidR="00774F82" w:rsidRDefault="00F75075" w:rsidP="000B58D9">
      <w:pPr>
        <w:spacing w:after="0" w:line="240" w:lineRule="auto"/>
        <w:jc w:val="both"/>
      </w:pPr>
      <w:r>
        <w:t xml:space="preserve">Zbyt niska wartość wskaźnika oznacza, ze przedsiębiorstwo zbyt długo kredytuje swoich klientów,        a środki pieniężne są zbyt długo zamrożone w należnościach. </w:t>
      </w:r>
      <w:r w:rsidR="002168C2">
        <w:t xml:space="preserve">Jednak próby skrócenia cyklu należności w dniach może grozić utratą klientów, co zmniejszy przychody ze sprzedaży i nie da oczekiwanego efektu wzrostu wskaźnika rotacji należności. </w:t>
      </w:r>
    </w:p>
    <w:p w:rsidR="002168C2" w:rsidRDefault="002168C2" w:rsidP="000B58D9">
      <w:pPr>
        <w:spacing w:after="0" w:line="240" w:lineRule="auto"/>
        <w:jc w:val="both"/>
      </w:pPr>
    </w:p>
    <w:p w:rsidR="002168C2" w:rsidRDefault="002168C2" w:rsidP="000B58D9">
      <w:pPr>
        <w:spacing w:after="0" w:line="240" w:lineRule="auto"/>
        <w:jc w:val="both"/>
      </w:pPr>
      <w:r>
        <w:t xml:space="preserve">Analiza podstawowych i przydatnych w controllingu logistyki wskaźników rotacji jest bardzo przydatna do oceny sprawności i efektywności działalności gospodarczej. Jednak powinna to być analiza bardzo ostrożna, uzupełniona o obliczenia wskaźników produktywności i wydajności zasobów oraz prowadzona z odniesieniem wartości księgowej badanych aktywów do ich rzeczywistej wartości operacyjnej. </w:t>
      </w:r>
    </w:p>
    <w:p w:rsidR="002168C2" w:rsidRDefault="002168C2" w:rsidP="000B58D9">
      <w:pPr>
        <w:spacing w:after="0" w:line="240" w:lineRule="auto"/>
        <w:jc w:val="both"/>
      </w:pPr>
    </w:p>
    <w:p w:rsidR="002168C2" w:rsidRDefault="002168C2" w:rsidP="000B58D9">
      <w:pPr>
        <w:spacing w:after="0" w:line="240" w:lineRule="auto"/>
        <w:jc w:val="both"/>
      </w:pPr>
      <w:r>
        <w:t xml:space="preserve">Trzecią analizowaną grupę wskaźników sprawności działania </w:t>
      </w:r>
      <w:r w:rsidR="00DE4B9F">
        <w:t xml:space="preserve">przedsiębiorstwa stanowią </w:t>
      </w:r>
      <w:r w:rsidR="00DE4B9F" w:rsidRPr="00DE4B9F">
        <w:rPr>
          <w:u w:val="single"/>
        </w:rPr>
        <w:t>wskaźniki gospodarowania zasobami</w:t>
      </w:r>
      <w:r w:rsidR="00DE4B9F">
        <w:t xml:space="preserve">. Dostarczane klientowi produkty zużywają zasoby w realizowanych </w:t>
      </w:r>
      <w:r w:rsidR="002F20EB">
        <w:t xml:space="preserve">procesach wytwarzania i dostarczania, jednak osiągnięty zysk może być poprawiony poprzez bardziej efektywne gospodarowanie zasobami przedsiębiorstwa. Do osiągnięcia planowanej wielkości sprzedaży wystarczy mniejsza ilość zasobów pod warunkiem, że będą wydajnie pracowały i będą dobrze wykorzystane. </w:t>
      </w:r>
      <w:r w:rsidR="00DB5843">
        <w:t>Analiza gospodarowania zasobami jest podstawą podejmowania decyzji inwestycyjnych powiększających stan zasobów przedsiębiorstwa.</w:t>
      </w:r>
    </w:p>
    <w:p w:rsidR="00461540" w:rsidRDefault="00461540" w:rsidP="000B58D9">
      <w:pPr>
        <w:spacing w:after="0" w:line="240" w:lineRule="auto"/>
        <w:jc w:val="both"/>
      </w:pPr>
    </w:p>
    <w:p w:rsidR="00DB5843" w:rsidRDefault="00DB5843" w:rsidP="000B58D9">
      <w:pPr>
        <w:spacing w:after="0" w:line="240" w:lineRule="auto"/>
        <w:jc w:val="both"/>
      </w:pPr>
      <w:r>
        <w:t xml:space="preserve">Efekt pracy zasobów może być mierzony miernikami ilościowymi (naturalnymi), wartościowymi (przeliczonymi na jednostki pieniężne) praz miernikami pracochłonności. Wszystkie mierniki są na co dzień wykorzystywane w zarządzaniu logistyką i controllingu logistyki. </w:t>
      </w:r>
    </w:p>
    <w:p w:rsidR="00DB5843" w:rsidRDefault="00DB5843" w:rsidP="000B58D9">
      <w:pPr>
        <w:spacing w:after="0" w:line="240" w:lineRule="auto"/>
        <w:jc w:val="both"/>
      </w:pPr>
      <w:r>
        <w:t xml:space="preserve">Mierniki naturalne  (ciężaru, ilości, powierzchni, pojemności) umożliwiają pomiar wyniku realizacji procesów logistycznych, np. liczbę rozładowanych wózków, liczbę ton przewiezionych ładunków, ilość </w:t>
      </w:r>
      <w:r>
        <w:lastRenderedPageBreak/>
        <w:t>zmagazynowanych produktów. Analiza gospodarowania zasobami bazuje na pomiarze efektywności, wydajności czy produktywności zasobów. Mierniki te konstruowane są jako relacja efektu pracy analizowanych zasobów do nakładów poniesionych na pracę zasobów:</w:t>
      </w:r>
    </w:p>
    <w:p w:rsidR="00DB5843" w:rsidRDefault="00DB5843" w:rsidP="000B58D9">
      <w:pPr>
        <w:spacing w:after="0" w:line="240" w:lineRule="auto"/>
        <w:jc w:val="both"/>
      </w:pPr>
    </w:p>
    <w:p w:rsidR="00591E46" w:rsidRPr="00591E46" w:rsidRDefault="00591E46" w:rsidP="000B58D9">
      <w:pPr>
        <w:spacing w:after="0" w:line="240" w:lineRule="auto"/>
        <w:jc w:val="both"/>
        <w:rPr>
          <w:rFonts w:eastAsiaTheme="minorEastAsia"/>
        </w:rPr>
      </w:pPr>
      <m:oMathPara>
        <m:oMath>
          <m:r>
            <w:rPr>
              <w:rFonts w:ascii="Cambria Math" w:hAnsi="Cambria Math"/>
            </w:rPr>
            <m:t xml:space="preserve">wynik gospodarowania zasobami = </m:t>
          </m:r>
          <m:f>
            <m:fPr>
              <m:ctrlPr>
                <w:rPr>
                  <w:rFonts w:ascii="Cambria Math" w:hAnsi="Cambria Math"/>
                  <w:i/>
                </w:rPr>
              </m:ctrlPr>
            </m:fPr>
            <m:num>
              <m:r>
                <w:rPr>
                  <w:rFonts w:ascii="Cambria Math" w:hAnsi="Cambria Math"/>
                </w:rPr>
                <m:t>efekt pracy zasobów</m:t>
              </m:r>
            </m:num>
            <m:den>
              <m:r>
                <w:rPr>
                  <w:rFonts w:ascii="Cambria Math" w:hAnsi="Cambria Math"/>
                </w:rPr>
                <m:t>nakład pracy zasobów</m:t>
              </m:r>
            </m:den>
          </m:f>
        </m:oMath>
      </m:oMathPara>
    </w:p>
    <w:p w:rsidR="00591E46" w:rsidRDefault="00591E46" w:rsidP="000B58D9">
      <w:pPr>
        <w:spacing w:after="0" w:line="240" w:lineRule="auto"/>
        <w:jc w:val="both"/>
        <w:rPr>
          <w:rFonts w:eastAsiaTheme="minorEastAsia"/>
        </w:rPr>
      </w:pPr>
    </w:p>
    <w:p w:rsidR="00591E46" w:rsidRDefault="00591E46" w:rsidP="000B58D9">
      <w:pPr>
        <w:spacing w:after="0" w:line="240" w:lineRule="auto"/>
        <w:jc w:val="both"/>
        <w:rPr>
          <w:rFonts w:eastAsiaTheme="minorEastAsia"/>
        </w:rPr>
      </w:pPr>
      <w:r>
        <w:rPr>
          <w:rFonts w:eastAsiaTheme="minorEastAsia"/>
        </w:rPr>
        <w:t xml:space="preserve">Miernikiem </w:t>
      </w:r>
      <w:r w:rsidR="003F19E9">
        <w:rPr>
          <w:rFonts w:eastAsiaTheme="minorEastAsia"/>
        </w:rPr>
        <w:t>wartościowym efektu pracy zasobów w łańcuchu dostaw może być wartość sprzedaży netto, zysk netto, wartość dodana. Miernikiem nakładu pracy zasobów jest najczęściej:</w:t>
      </w:r>
    </w:p>
    <w:p w:rsidR="003F19E9" w:rsidRDefault="003F19E9" w:rsidP="003F19E9">
      <w:pPr>
        <w:pStyle w:val="Akapitzlist"/>
        <w:numPr>
          <w:ilvl w:val="0"/>
          <w:numId w:val="15"/>
        </w:numPr>
        <w:spacing w:after="0" w:line="240" w:lineRule="auto"/>
        <w:jc w:val="both"/>
      </w:pPr>
      <w:r>
        <w:t>liczba zatrudnionych zasobów (ludzi, maszyn energii) i wówczas  wskaźnik np. wydajności pracy pokazujący wartość sprzedaży przypadającą na 1 zatrudnionego (etat) ma postać:</w:t>
      </w:r>
    </w:p>
    <w:p w:rsidR="00823DDD" w:rsidRDefault="00823DDD" w:rsidP="00823DDD">
      <w:pPr>
        <w:spacing w:after="0" w:line="240" w:lineRule="auto"/>
        <w:jc w:val="both"/>
      </w:pPr>
    </w:p>
    <w:p w:rsidR="00823DDD" w:rsidRDefault="00823DDD" w:rsidP="00823DDD">
      <w:pPr>
        <w:spacing w:after="0" w:line="240" w:lineRule="auto"/>
        <w:jc w:val="both"/>
      </w:pPr>
      <m:oMathPara>
        <m:oMath>
          <m:r>
            <w:rPr>
              <w:rFonts w:ascii="Cambria Math" w:hAnsi="Cambria Math"/>
            </w:rPr>
            <m:t xml:space="preserve">wydajność pracy pracownika = </m:t>
          </m:r>
          <m:f>
            <m:fPr>
              <m:ctrlPr>
                <w:rPr>
                  <w:rFonts w:ascii="Cambria Math" w:hAnsi="Cambria Math"/>
                  <w:i/>
                </w:rPr>
              </m:ctrlPr>
            </m:fPr>
            <m:num>
              <m:r>
                <w:rPr>
                  <w:rFonts w:ascii="Cambria Math" w:hAnsi="Cambria Math"/>
                </w:rPr>
                <m:t>przychody netto ze sprzedaży</m:t>
              </m:r>
            </m:num>
            <m:den>
              <m:r>
                <w:rPr>
                  <w:rFonts w:ascii="Cambria Math" w:hAnsi="Cambria Math"/>
                </w:rPr>
                <m:t>przeciętna liczba zatrudnionych (lic</m:t>
              </m:r>
              <m:r>
                <w:rPr>
                  <w:rFonts w:ascii="Cambria Math" w:hAnsi="Cambria Math"/>
                </w:rPr>
                <m:t>zba etatów)</m:t>
              </m:r>
            </m:den>
          </m:f>
        </m:oMath>
      </m:oMathPara>
    </w:p>
    <w:p w:rsidR="000B58D9" w:rsidRDefault="000B58D9" w:rsidP="000B58D9">
      <w:pPr>
        <w:spacing w:after="0" w:line="240" w:lineRule="auto"/>
        <w:jc w:val="both"/>
      </w:pPr>
      <w:r>
        <w:t xml:space="preserve"> </w:t>
      </w:r>
    </w:p>
    <w:p w:rsidR="00823DDD" w:rsidRDefault="00823DDD" w:rsidP="00823DDD">
      <w:pPr>
        <w:pStyle w:val="Akapitzlist"/>
        <w:numPr>
          <w:ilvl w:val="0"/>
          <w:numId w:val="15"/>
        </w:numPr>
        <w:spacing w:after="0" w:line="240" w:lineRule="auto"/>
        <w:jc w:val="both"/>
      </w:pPr>
      <w:r>
        <w:t>czas pracy zatrudnienia zasobów (czas potencjalny / nominalny lub efektywny) i wówczas wskaźnik np.  wydajności czasu pracy pokazujący wartość sprzedaży przypadającą na 1 roboczogodzinę czasu nominalnego lub efektywnego ma postać:</w:t>
      </w:r>
    </w:p>
    <w:p w:rsidR="00823DDD" w:rsidRDefault="00823DDD" w:rsidP="00823DDD">
      <w:pPr>
        <w:spacing w:after="0" w:line="240" w:lineRule="auto"/>
        <w:jc w:val="both"/>
      </w:pPr>
    </w:p>
    <w:p w:rsidR="00823DDD" w:rsidRPr="00823DDD" w:rsidRDefault="00823DDD" w:rsidP="00823DDD">
      <w:pPr>
        <w:spacing w:after="0" w:line="240" w:lineRule="auto"/>
        <w:jc w:val="both"/>
        <w:rPr>
          <w:rFonts w:eastAsiaTheme="minorEastAsia"/>
        </w:rPr>
      </w:pPr>
      <m:oMathPara>
        <m:oMath>
          <m:r>
            <w:rPr>
              <w:rFonts w:ascii="Cambria Math" w:hAnsi="Cambria Math"/>
            </w:rPr>
            <m:t xml:space="preserve">wydajność pracy na roboczogodzinę = </m:t>
          </m:r>
          <m:f>
            <m:fPr>
              <m:ctrlPr>
                <w:rPr>
                  <w:rFonts w:ascii="Cambria Math" w:hAnsi="Cambria Math"/>
                  <w:i/>
                </w:rPr>
              </m:ctrlPr>
            </m:fPr>
            <m:num>
              <m:r>
                <w:rPr>
                  <w:rFonts w:ascii="Cambria Math" w:hAnsi="Cambria Math"/>
                </w:rPr>
                <m:t>przychody netto ze sprzedaży</m:t>
              </m:r>
            </m:num>
            <m:den>
              <m:r>
                <w:rPr>
                  <w:rFonts w:ascii="Cambria Math" w:hAnsi="Cambria Math"/>
                </w:rPr>
                <m:t xml:space="preserve">efektywny </m:t>
              </m:r>
              <m:d>
                <m:dPr>
                  <m:ctrlPr>
                    <w:rPr>
                      <w:rFonts w:ascii="Cambria Math" w:hAnsi="Cambria Math"/>
                      <w:i/>
                    </w:rPr>
                  </m:ctrlPr>
                </m:dPr>
                <m:e>
                  <m:r>
                    <w:rPr>
                      <w:rFonts w:ascii="Cambria Math" w:hAnsi="Cambria Math"/>
                    </w:rPr>
                    <m:t>nominalny</m:t>
                  </m:r>
                </m:e>
              </m:d>
              <m:r>
                <w:rPr>
                  <w:rFonts w:ascii="Cambria Math" w:hAnsi="Cambria Math"/>
                </w:rPr>
                <m:t>czas pracy</m:t>
              </m:r>
            </m:den>
          </m:f>
        </m:oMath>
      </m:oMathPara>
    </w:p>
    <w:p w:rsidR="00823DDD" w:rsidRDefault="00823DDD" w:rsidP="00823DDD">
      <w:pPr>
        <w:spacing w:after="0" w:line="240" w:lineRule="auto"/>
        <w:jc w:val="both"/>
        <w:rPr>
          <w:rFonts w:eastAsiaTheme="minorEastAsia"/>
        </w:rPr>
      </w:pPr>
    </w:p>
    <w:p w:rsidR="00823DDD" w:rsidRDefault="00823DDD" w:rsidP="00823DDD">
      <w:pPr>
        <w:spacing w:after="0" w:line="240" w:lineRule="auto"/>
        <w:jc w:val="both"/>
      </w:pPr>
      <w:r>
        <w:t>Mierząc pracochłonność zasobów logistycznych odnosi się wynik pracy zasobów do czasu pracy przeznaczonego na osiągnięcie wyniku pracy. Kalendarzowy czas pracy, czyli liczba godzin pracy, jaką pracownicy, maszyny i urządzenia mogą przepracować</w:t>
      </w:r>
      <w:r w:rsidR="00127869">
        <w:t xml:space="preserve"> (np. 8 h zmiany roboczej), stanowi odniesienie do stosowanych w obliczeniach form czasu pracy:</w:t>
      </w:r>
    </w:p>
    <w:p w:rsidR="00127869" w:rsidRDefault="00127869" w:rsidP="00127869">
      <w:pPr>
        <w:pStyle w:val="Akapitzlist"/>
        <w:numPr>
          <w:ilvl w:val="0"/>
          <w:numId w:val="15"/>
        </w:numPr>
        <w:spacing w:after="0" w:line="240" w:lineRule="auto"/>
        <w:jc w:val="both"/>
      </w:pPr>
      <w:r>
        <w:t>nominalnego czasu pracy – obliczanego po odjęciu od kalendarzowego czasu pracy przerw ustawowych (wynikających z Kodeksu Pracy) i dodaniu godzin nadliczbowych,</w:t>
      </w:r>
    </w:p>
    <w:p w:rsidR="00127869" w:rsidRDefault="00127869" w:rsidP="00127869">
      <w:pPr>
        <w:pStyle w:val="Akapitzlist"/>
        <w:numPr>
          <w:ilvl w:val="0"/>
          <w:numId w:val="15"/>
        </w:numPr>
        <w:spacing w:after="0" w:line="240" w:lineRule="auto"/>
        <w:jc w:val="both"/>
      </w:pPr>
      <w:r>
        <w:t>efektywnego czasu pracy – obliczanego poprzez odjęcie od czasu nominalnego czasów: przestojów, awarii, braków zadań do wykonania lub zleceń, strat wynikających ze złej organizacji pracy.</w:t>
      </w:r>
    </w:p>
    <w:p w:rsidR="00127869" w:rsidRDefault="00127869" w:rsidP="00127869">
      <w:pPr>
        <w:spacing w:after="0" w:line="240" w:lineRule="auto"/>
        <w:jc w:val="both"/>
      </w:pPr>
      <w:r>
        <w:t xml:space="preserve">Czas pracy w ujęciu wartościowym stanowi koszt wynagrodzeń pracowników wraz z narzutami na wynagrodzenia  lub koszt czasu pracy zasobów (amortyzacja, koszty bezpośrednie zmienne </w:t>
      </w:r>
      <w:r w:rsidR="002C385D">
        <w:t xml:space="preserve">                          </w:t>
      </w:r>
      <w:r>
        <w:t xml:space="preserve">i pośrednie stałe). </w:t>
      </w:r>
    </w:p>
    <w:p w:rsidR="002C385D" w:rsidRDefault="002C385D" w:rsidP="00127869">
      <w:pPr>
        <w:spacing w:after="0" w:line="240" w:lineRule="auto"/>
        <w:jc w:val="both"/>
      </w:pPr>
    </w:p>
    <w:p w:rsidR="002C385D" w:rsidRDefault="002C385D" w:rsidP="00127869">
      <w:pPr>
        <w:spacing w:after="0" w:line="240" w:lineRule="auto"/>
        <w:jc w:val="both"/>
      </w:pPr>
      <w:r>
        <w:t xml:space="preserve">Pojęcie wartości dodanej w łańcuchu dostaw opiera się na założeniu, że sprzedaż jest rezultatem zakupu materiałów i usług oraz wykonanych działań (pracy), w ramach których zużywane są zasoby, mając na celu wytworzenie i sprzedaż produktu. Wykorzystywane w procesie tworzenia produktu zasoby angażują kapitały własne i obce, jako źródła ich finansowania. </w:t>
      </w:r>
    </w:p>
    <w:p w:rsidR="002C385D" w:rsidRDefault="002C385D" w:rsidP="00127869">
      <w:pPr>
        <w:spacing w:after="0" w:line="240" w:lineRule="auto"/>
        <w:jc w:val="both"/>
      </w:pPr>
    </w:p>
    <w:p w:rsidR="006A48C0" w:rsidRDefault="002C385D" w:rsidP="00823DDD">
      <w:pPr>
        <w:spacing w:after="0" w:line="240" w:lineRule="auto"/>
        <w:jc w:val="both"/>
      </w:pPr>
      <m:oMathPara>
        <m:oMath>
          <m:r>
            <w:rPr>
              <w:rFonts w:ascii="Cambria Math" w:hAnsi="Cambria Math"/>
            </w:rPr>
            <m:t>wartość dodana=przychody netto ze sprzedaży-koszty materialne</m:t>
          </m:r>
        </m:oMath>
      </m:oMathPara>
    </w:p>
    <w:p w:rsidR="002C385D" w:rsidRDefault="002C385D" w:rsidP="00823DDD">
      <w:pPr>
        <w:spacing w:after="0" w:line="240" w:lineRule="auto"/>
        <w:jc w:val="both"/>
      </w:pPr>
    </w:p>
    <w:p w:rsidR="002C385D" w:rsidRPr="002C385D" w:rsidRDefault="002C385D" w:rsidP="00823DDD">
      <w:pPr>
        <w:spacing w:after="0" w:line="240" w:lineRule="auto"/>
        <w:jc w:val="both"/>
        <w:rPr>
          <w:rFonts w:eastAsiaTheme="minorEastAsia"/>
        </w:rPr>
      </w:pPr>
      <m:oMathPara>
        <m:oMath>
          <m:r>
            <w:rPr>
              <w:rFonts w:ascii="Cambria Math" w:hAnsi="Cambria Math"/>
            </w:rPr>
            <m:t>wartość dodana=koszty niematerialne+zysk</m:t>
          </m:r>
        </m:oMath>
      </m:oMathPara>
    </w:p>
    <w:p w:rsidR="002C385D" w:rsidRDefault="002C385D" w:rsidP="00823DDD">
      <w:pPr>
        <w:spacing w:after="0" w:line="240" w:lineRule="auto"/>
        <w:jc w:val="both"/>
        <w:rPr>
          <w:rFonts w:eastAsiaTheme="minorEastAsia"/>
        </w:rPr>
      </w:pPr>
    </w:p>
    <w:p w:rsidR="002C385D" w:rsidRDefault="002C385D" w:rsidP="00823DDD">
      <w:pPr>
        <w:spacing w:after="0" w:line="240" w:lineRule="auto"/>
        <w:jc w:val="both"/>
        <w:rPr>
          <w:rFonts w:eastAsiaTheme="minorEastAsia"/>
        </w:rPr>
      </w:pPr>
      <w:r>
        <w:rPr>
          <w:rFonts w:eastAsiaTheme="minorEastAsia"/>
        </w:rPr>
        <w:t>Konstruowane wskaźniki wydajności czy produktywności mogą jako efekt w liczniku stosować wartość dodaną.</w:t>
      </w:r>
    </w:p>
    <w:p w:rsidR="002C385D" w:rsidRDefault="002C385D" w:rsidP="00823DDD">
      <w:pPr>
        <w:spacing w:after="0" w:line="240" w:lineRule="auto"/>
        <w:jc w:val="both"/>
        <w:rPr>
          <w:rFonts w:eastAsiaTheme="minorEastAsia"/>
        </w:rPr>
      </w:pPr>
    </w:p>
    <w:p w:rsidR="002C385D" w:rsidRDefault="0031697F" w:rsidP="00823DDD">
      <w:pPr>
        <w:spacing w:after="0" w:line="240" w:lineRule="auto"/>
        <w:jc w:val="both"/>
        <w:rPr>
          <w:rFonts w:eastAsiaTheme="minorEastAsia"/>
        </w:rPr>
      </w:pPr>
      <w:r>
        <w:rPr>
          <w:rFonts w:eastAsiaTheme="minorEastAsia"/>
        </w:rPr>
        <w:t>Ocenę gospodarowania zasobami można także przeprowadzić w oparciu o wskaźniki produktywności.</w:t>
      </w:r>
      <w:r w:rsidR="00857F90">
        <w:rPr>
          <w:rFonts w:eastAsiaTheme="minorEastAsia"/>
        </w:rPr>
        <w:t xml:space="preserve"> Przy obliczaniu produktywności mogą być p</w:t>
      </w:r>
      <w:r w:rsidR="001A5BFF">
        <w:rPr>
          <w:rFonts w:eastAsiaTheme="minorEastAsia"/>
        </w:rPr>
        <w:t>rzyjęte do analizy różne zasoby (aktywa trwałe, ludzie, maszyny i urządzenia) oraz różne wyniki pracy zasobów – przyc</w:t>
      </w:r>
      <w:r w:rsidR="00A51A2F">
        <w:rPr>
          <w:rFonts w:eastAsiaTheme="minorEastAsia"/>
        </w:rPr>
        <w:t>hód ze sprzedaży, wartość dodaną</w:t>
      </w:r>
      <w:r w:rsidR="001A5BFF">
        <w:rPr>
          <w:rFonts w:eastAsiaTheme="minorEastAsia"/>
        </w:rPr>
        <w:t xml:space="preserve">. </w:t>
      </w:r>
    </w:p>
    <w:p w:rsidR="001A5BFF" w:rsidRDefault="001A5BFF" w:rsidP="00823DDD">
      <w:pPr>
        <w:spacing w:after="0" w:line="240" w:lineRule="auto"/>
        <w:jc w:val="both"/>
        <w:rPr>
          <w:rFonts w:eastAsiaTheme="minorEastAsia"/>
        </w:rPr>
      </w:pPr>
    </w:p>
    <w:p w:rsidR="001A5BFF" w:rsidRDefault="001A5BFF" w:rsidP="00823DDD">
      <w:pPr>
        <w:spacing w:after="0" w:line="240" w:lineRule="auto"/>
        <w:jc w:val="both"/>
        <w:rPr>
          <w:rFonts w:eastAsiaTheme="minorEastAsia"/>
        </w:rPr>
      </w:pPr>
      <w:r>
        <w:rPr>
          <w:rFonts w:eastAsiaTheme="minorEastAsia"/>
        </w:rPr>
        <w:lastRenderedPageBreak/>
        <w:t>Wskaźnik produktywności określa wartość sprzedaży przypadającą na 1 zł ulokowany w zasoby przedsiębiorstwa:</w:t>
      </w:r>
    </w:p>
    <w:p w:rsidR="001A5BFF" w:rsidRDefault="001A5BFF" w:rsidP="00823DDD">
      <w:pPr>
        <w:spacing w:after="0" w:line="240" w:lineRule="auto"/>
        <w:jc w:val="both"/>
        <w:rPr>
          <w:rFonts w:eastAsiaTheme="minorEastAsia"/>
        </w:rPr>
      </w:pPr>
    </w:p>
    <w:p w:rsidR="001A5BFF" w:rsidRDefault="001A5BFF" w:rsidP="00823DDD">
      <w:pPr>
        <w:spacing w:after="0" w:line="240" w:lineRule="auto"/>
        <w:jc w:val="both"/>
      </w:pPr>
      <m:oMathPara>
        <m:oMath>
          <m:r>
            <w:rPr>
              <w:rFonts w:ascii="Cambria Math" w:hAnsi="Cambria Math"/>
            </w:rPr>
            <m:t xml:space="preserve">produktywność= </m:t>
          </m:r>
          <m:f>
            <m:fPr>
              <m:ctrlPr>
                <w:rPr>
                  <w:rFonts w:ascii="Cambria Math" w:hAnsi="Cambria Math"/>
                  <w:i/>
                </w:rPr>
              </m:ctrlPr>
            </m:fPr>
            <m:num>
              <m:r>
                <w:rPr>
                  <w:rFonts w:ascii="Cambria Math" w:hAnsi="Cambria Math"/>
                </w:rPr>
                <m:t xml:space="preserve">przychody netto ze sprzedaży </m:t>
              </m:r>
            </m:num>
            <m:den>
              <m:r>
                <w:rPr>
                  <w:rFonts w:ascii="Cambria Math" w:hAnsi="Cambria Math"/>
                </w:rPr>
                <m:t>przeciętny stan zasobów brutto</m:t>
              </m:r>
            </m:den>
          </m:f>
        </m:oMath>
      </m:oMathPara>
    </w:p>
    <w:p w:rsidR="006A48C0" w:rsidRDefault="006A48C0" w:rsidP="00823DDD">
      <w:pPr>
        <w:spacing w:after="0" w:line="240" w:lineRule="auto"/>
        <w:jc w:val="both"/>
      </w:pPr>
    </w:p>
    <w:p w:rsidR="006A48C0" w:rsidRDefault="001A5BFF" w:rsidP="00823DDD">
      <w:pPr>
        <w:spacing w:after="0" w:line="240" w:lineRule="auto"/>
        <w:jc w:val="both"/>
      </w:pPr>
      <w:r>
        <w:t>Uwzględniana jest tutaj wartość zasobów brutto, aby uniknąć sytuacji, w której kolejne roczne odpisy amortyzacyjne zmniejszają wartość analizowanych zasobów, zwiększając tym samym wartość wskaźnika produktywności.</w:t>
      </w:r>
    </w:p>
    <w:p w:rsidR="001A5BFF" w:rsidRDefault="001A5BFF" w:rsidP="00823DDD">
      <w:pPr>
        <w:spacing w:after="0" w:line="240" w:lineRule="auto"/>
        <w:jc w:val="both"/>
      </w:pPr>
    </w:p>
    <w:p w:rsidR="001A5BFF" w:rsidRDefault="004E40E2" w:rsidP="00823DDD">
      <w:pPr>
        <w:spacing w:after="0" w:line="240" w:lineRule="auto"/>
        <w:jc w:val="both"/>
      </w:pPr>
      <w:r>
        <w:t>Często rozpatrywanym w zarządzaniu logistyką  zagadnieniem jest produktywność</w:t>
      </w:r>
      <w:r w:rsidR="00953466">
        <w:t xml:space="preserve"> czasu pracy                (w ujęciu wartościowym) określająca, jaka wartość sprzedaży przypada na 1 zł nakładu na pokrycie kosztów pracy zatrudnienia pracowników (wskaźnik daje pogląd na stopień wykorzystania pracowników logistyki).</w:t>
      </w:r>
    </w:p>
    <w:p w:rsidR="00953466" w:rsidRDefault="00953466" w:rsidP="00823DDD">
      <w:pPr>
        <w:spacing w:after="0" w:line="240" w:lineRule="auto"/>
        <w:jc w:val="both"/>
      </w:pPr>
    </w:p>
    <w:p w:rsidR="00953466" w:rsidRPr="00953466" w:rsidRDefault="00953466" w:rsidP="00823DDD">
      <w:pPr>
        <w:spacing w:after="0" w:line="240" w:lineRule="auto"/>
        <w:jc w:val="both"/>
        <w:rPr>
          <w:rFonts w:eastAsiaTheme="minorEastAsia"/>
        </w:rPr>
      </w:pPr>
      <m:oMathPara>
        <m:oMath>
          <m:r>
            <w:rPr>
              <w:rFonts w:ascii="Cambria Math" w:hAnsi="Cambria Math"/>
            </w:rPr>
            <m:t xml:space="preserve">produktywność pracy= </m:t>
          </m:r>
          <m:f>
            <m:fPr>
              <m:ctrlPr>
                <w:rPr>
                  <w:rFonts w:ascii="Cambria Math" w:hAnsi="Cambria Math"/>
                  <w:i/>
                </w:rPr>
              </m:ctrlPr>
            </m:fPr>
            <m:num>
              <m:r>
                <w:rPr>
                  <w:rFonts w:ascii="Cambria Math" w:hAnsi="Cambria Math"/>
                </w:rPr>
                <m:t>przychody netto ze sprzedaży</m:t>
              </m:r>
            </m:num>
            <m:den>
              <m:r>
                <w:rPr>
                  <w:rFonts w:ascii="Cambria Math" w:hAnsi="Cambria Math"/>
                </w:rPr>
                <m:t>koszty pracy</m:t>
              </m:r>
            </m:den>
          </m:f>
        </m:oMath>
      </m:oMathPara>
    </w:p>
    <w:p w:rsidR="00953466" w:rsidRDefault="00953466" w:rsidP="00823DDD">
      <w:pPr>
        <w:spacing w:after="0" w:line="240" w:lineRule="auto"/>
        <w:jc w:val="both"/>
        <w:rPr>
          <w:rFonts w:eastAsiaTheme="minorEastAsia"/>
        </w:rPr>
      </w:pPr>
    </w:p>
    <w:p w:rsidR="00953466" w:rsidRDefault="00953466" w:rsidP="00823DDD">
      <w:pPr>
        <w:spacing w:after="0" w:line="240" w:lineRule="auto"/>
        <w:jc w:val="both"/>
        <w:rPr>
          <w:rFonts w:eastAsiaTheme="minorEastAsia"/>
        </w:rPr>
      </w:pPr>
      <w:r>
        <w:rPr>
          <w:rFonts w:eastAsiaTheme="minorEastAsia"/>
        </w:rPr>
        <w:t>Produktywność pracy wzrasta wraz ze wzrostem efektywności wykorzystania zasobów, a jej spadek jest sygnałem do obserwacji procesów pracy, udoskonalania sposobów planowania i kontroli pracy, prognozowania ilości zamówień. Produktywność jest użytecznym miernikiem oceny efektu pracy zasobów w procesach logistycznych.</w:t>
      </w:r>
    </w:p>
    <w:p w:rsidR="00A57DBE" w:rsidRDefault="00A57DBE" w:rsidP="00823DDD">
      <w:pPr>
        <w:spacing w:after="0" w:line="240" w:lineRule="auto"/>
        <w:jc w:val="both"/>
        <w:rPr>
          <w:rFonts w:eastAsiaTheme="minorEastAsia"/>
        </w:rPr>
      </w:pPr>
    </w:p>
    <w:p w:rsidR="00A57DBE" w:rsidRPr="00A57DBE" w:rsidRDefault="00A57DBE" w:rsidP="00823DDD">
      <w:pPr>
        <w:spacing w:after="0" w:line="240" w:lineRule="auto"/>
        <w:jc w:val="both"/>
        <w:rPr>
          <w:rFonts w:eastAsiaTheme="minorEastAsia"/>
          <w:b/>
          <w:sz w:val="28"/>
          <w:szCs w:val="28"/>
        </w:rPr>
      </w:pPr>
      <w:r w:rsidRPr="00A57DBE">
        <w:rPr>
          <w:rFonts w:eastAsiaTheme="minorEastAsia"/>
          <w:b/>
          <w:sz w:val="28"/>
          <w:szCs w:val="28"/>
        </w:rPr>
        <w:t xml:space="preserve">Zadanie </w:t>
      </w:r>
    </w:p>
    <w:p w:rsidR="00A57DBE" w:rsidRDefault="00A57DBE" w:rsidP="00823DDD">
      <w:pPr>
        <w:spacing w:after="0" w:line="240" w:lineRule="auto"/>
        <w:jc w:val="both"/>
        <w:rPr>
          <w:rFonts w:eastAsiaTheme="minorEastAsia"/>
        </w:rPr>
      </w:pPr>
      <w:r>
        <w:rPr>
          <w:rFonts w:eastAsiaTheme="minorEastAsia"/>
        </w:rPr>
        <w:t>Przedsiębiorstwo realizuje 400 zamówień w ciągu 20 roboczogodzin, zatrudniając do tego 2 ludzi.               W trakcie realizacji zamówień wykorzystywanych jest 10 godzin pracy wózka do manipulacji kompletowanym ładunkiem oraz ok. 4000 m bieżących folii opakowaniowej.</w:t>
      </w:r>
    </w:p>
    <w:p w:rsidR="00A57DBE" w:rsidRDefault="00A57DBE" w:rsidP="00823DDD">
      <w:pPr>
        <w:spacing w:after="0" w:line="240" w:lineRule="auto"/>
        <w:jc w:val="both"/>
        <w:rPr>
          <w:rFonts w:eastAsiaTheme="minorEastAsia"/>
        </w:rPr>
      </w:pPr>
      <w:r>
        <w:rPr>
          <w:rFonts w:eastAsiaTheme="minorEastAsia"/>
        </w:rPr>
        <w:t>Należy obliczyć miary pr</w:t>
      </w:r>
      <w:r w:rsidR="00C0139C">
        <w:rPr>
          <w:rFonts w:eastAsiaTheme="minorEastAsia"/>
        </w:rPr>
        <w:t>oduktywności zużywanych zasobów: pracowników, czasu pracy, wózka kompletacyjnego i folii opakowaniowej.</w:t>
      </w:r>
      <w:r w:rsidR="002A74B3">
        <w:rPr>
          <w:rFonts w:eastAsiaTheme="minorEastAsia"/>
        </w:rPr>
        <w:t xml:space="preserve"> Przy założeniu, że standardem jest 15 zamówień na rbh, obliczyć sprawność systemu pracy.</w:t>
      </w:r>
    </w:p>
    <w:p w:rsidR="00C0139C" w:rsidRDefault="00C0139C" w:rsidP="00823DDD">
      <w:pPr>
        <w:spacing w:after="0" w:line="240" w:lineRule="auto"/>
        <w:jc w:val="both"/>
        <w:rPr>
          <w:rFonts w:eastAsiaTheme="minorEastAsia"/>
        </w:rPr>
      </w:pPr>
    </w:p>
    <w:p w:rsidR="00C0139C" w:rsidRDefault="00863F4D" w:rsidP="00823DDD">
      <w:pPr>
        <w:spacing w:after="0" w:line="240" w:lineRule="auto"/>
        <w:jc w:val="both"/>
        <w:rPr>
          <w:rFonts w:eastAsiaTheme="minorEastAsia"/>
        </w:rPr>
      </w:pPr>
      <w:r>
        <w:rPr>
          <w:rFonts w:eastAsiaTheme="minorEastAsia"/>
        </w:rPr>
        <w:t>Pracownicy = 400 zamówień / 2 pracowników = 200 zamówień na pracownika w ciągu 20 rbh</w:t>
      </w:r>
    </w:p>
    <w:p w:rsidR="00863F4D" w:rsidRDefault="00863F4D" w:rsidP="00823DDD">
      <w:pPr>
        <w:spacing w:after="0" w:line="240" w:lineRule="auto"/>
        <w:jc w:val="both"/>
        <w:rPr>
          <w:rFonts w:eastAsiaTheme="minorEastAsia"/>
        </w:rPr>
      </w:pPr>
    </w:p>
    <w:p w:rsidR="00863F4D" w:rsidRDefault="00863F4D" w:rsidP="00823DDD">
      <w:pPr>
        <w:spacing w:after="0" w:line="240" w:lineRule="auto"/>
        <w:jc w:val="both"/>
        <w:rPr>
          <w:rFonts w:eastAsiaTheme="minorEastAsia"/>
        </w:rPr>
      </w:pPr>
      <w:r>
        <w:rPr>
          <w:rFonts w:eastAsiaTheme="minorEastAsia"/>
        </w:rPr>
        <w:t>Czas pracy = 400 zamówień / 40 rbh = 10 zamówień</w:t>
      </w:r>
    </w:p>
    <w:p w:rsidR="00863F4D" w:rsidRDefault="00863F4D" w:rsidP="00823DDD">
      <w:pPr>
        <w:spacing w:after="0" w:line="240" w:lineRule="auto"/>
        <w:jc w:val="both"/>
        <w:rPr>
          <w:rFonts w:eastAsiaTheme="minorEastAsia"/>
        </w:rPr>
      </w:pPr>
      <w:r>
        <w:rPr>
          <w:rFonts w:eastAsiaTheme="minorEastAsia"/>
        </w:rPr>
        <w:t>(2 pracowników x 20 rbh)</w:t>
      </w:r>
    </w:p>
    <w:p w:rsidR="00863F4D" w:rsidRDefault="00863F4D" w:rsidP="00823DDD">
      <w:pPr>
        <w:spacing w:after="0" w:line="240" w:lineRule="auto"/>
        <w:jc w:val="both"/>
        <w:rPr>
          <w:rFonts w:eastAsiaTheme="minorEastAsia"/>
        </w:rPr>
      </w:pPr>
    </w:p>
    <w:p w:rsidR="00863F4D" w:rsidRDefault="00863F4D" w:rsidP="00823DDD">
      <w:pPr>
        <w:spacing w:after="0" w:line="240" w:lineRule="auto"/>
        <w:jc w:val="both"/>
        <w:rPr>
          <w:rFonts w:eastAsiaTheme="minorEastAsia"/>
        </w:rPr>
      </w:pPr>
      <w:r>
        <w:rPr>
          <w:rFonts w:eastAsiaTheme="minorEastAsia"/>
        </w:rPr>
        <w:t>Wózek kompletacyjny = 400 zamówień / 10 h pracy wózka = 40 zamówień na 1 h pracy wózka</w:t>
      </w:r>
    </w:p>
    <w:p w:rsidR="00863F4D" w:rsidRDefault="00863F4D" w:rsidP="00823DDD">
      <w:pPr>
        <w:spacing w:after="0" w:line="240" w:lineRule="auto"/>
        <w:jc w:val="both"/>
        <w:rPr>
          <w:rFonts w:eastAsiaTheme="minorEastAsia"/>
        </w:rPr>
      </w:pPr>
    </w:p>
    <w:p w:rsidR="00863F4D" w:rsidRDefault="00863F4D" w:rsidP="00823DDD">
      <w:pPr>
        <w:spacing w:after="0" w:line="240" w:lineRule="auto"/>
        <w:jc w:val="both"/>
        <w:rPr>
          <w:rFonts w:eastAsiaTheme="minorEastAsia"/>
        </w:rPr>
      </w:pPr>
      <w:r>
        <w:rPr>
          <w:rFonts w:eastAsiaTheme="minorEastAsia"/>
        </w:rPr>
        <w:t>Folia opakowaniowa = 400 zamówień / 4000 m bieżących folii = 10 m folii na 1 zamówienie.</w:t>
      </w:r>
    </w:p>
    <w:p w:rsidR="002D4674" w:rsidRDefault="002D4674" w:rsidP="00823DDD">
      <w:pPr>
        <w:spacing w:after="0" w:line="240" w:lineRule="auto"/>
        <w:jc w:val="both"/>
        <w:rPr>
          <w:rFonts w:eastAsiaTheme="minorEastAsia"/>
        </w:rPr>
      </w:pPr>
    </w:p>
    <w:p w:rsidR="002D4674" w:rsidRDefault="002D4674" w:rsidP="00823DDD">
      <w:pPr>
        <w:spacing w:after="0" w:line="240" w:lineRule="auto"/>
        <w:jc w:val="both"/>
        <w:rPr>
          <w:rFonts w:eastAsiaTheme="minorEastAsia"/>
        </w:rPr>
      </w:pPr>
      <w:r>
        <w:rPr>
          <w:rFonts w:eastAsiaTheme="minorEastAsia"/>
        </w:rPr>
        <w:t>Jeżeli standardem jest 15 zamówień na rbh, a rzecz</w:t>
      </w:r>
      <w:r w:rsidR="004018B2">
        <w:rPr>
          <w:rFonts w:eastAsiaTheme="minorEastAsia"/>
        </w:rPr>
        <w:t>ywista osiągnięta produktywność</w:t>
      </w:r>
      <w:r w:rsidR="002A74B3">
        <w:rPr>
          <w:rFonts w:eastAsiaTheme="minorEastAsia"/>
        </w:rPr>
        <w:t xml:space="preserve"> wynosi 10</w:t>
      </w:r>
      <w:r>
        <w:rPr>
          <w:rFonts w:eastAsiaTheme="minorEastAsia"/>
        </w:rPr>
        <w:t xml:space="preserve"> zamówień na rbh, to s</w:t>
      </w:r>
      <w:r w:rsidR="002A74B3">
        <w:rPr>
          <w:rFonts w:eastAsiaTheme="minorEastAsia"/>
        </w:rPr>
        <w:t>prawność systemu pracy wynosi 67</w:t>
      </w:r>
      <w:r>
        <w:rPr>
          <w:rFonts w:eastAsiaTheme="minorEastAsia"/>
        </w:rPr>
        <w:t>%.</w:t>
      </w:r>
    </w:p>
    <w:p w:rsidR="00863F4D" w:rsidRDefault="00863F4D" w:rsidP="00823DDD">
      <w:pPr>
        <w:spacing w:after="0" w:line="240" w:lineRule="auto"/>
        <w:jc w:val="both"/>
        <w:rPr>
          <w:rFonts w:eastAsiaTheme="minorEastAsia"/>
        </w:rPr>
      </w:pPr>
    </w:p>
    <w:p w:rsidR="00A57DBE" w:rsidRDefault="00A57DBE" w:rsidP="00823DDD">
      <w:pPr>
        <w:spacing w:after="0" w:line="240" w:lineRule="auto"/>
        <w:jc w:val="both"/>
        <w:rPr>
          <w:rFonts w:eastAsiaTheme="minorEastAsia"/>
        </w:rPr>
      </w:pPr>
    </w:p>
    <w:p w:rsidR="00A57DBE" w:rsidRDefault="00A57DBE" w:rsidP="00823DDD">
      <w:pPr>
        <w:spacing w:after="0" w:line="240" w:lineRule="auto"/>
        <w:jc w:val="both"/>
        <w:rPr>
          <w:rFonts w:eastAsiaTheme="minorEastAsia"/>
        </w:rPr>
      </w:pPr>
    </w:p>
    <w:p w:rsidR="00953466" w:rsidRDefault="00953466" w:rsidP="00823DDD">
      <w:pPr>
        <w:spacing w:after="0" w:line="240" w:lineRule="auto"/>
        <w:jc w:val="both"/>
        <w:rPr>
          <w:rFonts w:eastAsiaTheme="minorEastAsia"/>
        </w:rPr>
      </w:pPr>
    </w:p>
    <w:p w:rsidR="00614BEB" w:rsidRPr="004554F3" w:rsidRDefault="00953466" w:rsidP="00E9124A">
      <w:pPr>
        <w:spacing w:after="0" w:line="240" w:lineRule="auto"/>
        <w:jc w:val="both"/>
      </w:pPr>
      <w:r>
        <w:rPr>
          <w:rFonts w:eastAsiaTheme="minorEastAsia"/>
        </w:rPr>
        <w:t xml:space="preserve">Z przedstawionych analiz wynika, ze dobór metod zarządzania logistyką wpływa na sprawność </w:t>
      </w:r>
      <w:r w:rsidR="00CB45F6">
        <w:rPr>
          <w:rFonts w:eastAsiaTheme="minorEastAsia"/>
        </w:rPr>
        <w:t xml:space="preserve">                    </w:t>
      </w:r>
      <w:r>
        <w:rPr>
          <w:rFonts w:eastAsiaTheme="minorEastAsia"/>
        </w:rPr>
        <w:t xml:space="preserve">i efektywność realizowanych procesów oraz na poziom wykorzystania zasobów i ich rotację. Działania operacyjne logistyki przekładają się wprost na </w:t>
      </w:r>
      <w:r w:rsidR="00CB45F6">
        <w:rPr>
          <w:rFonts w:eastAsiaTheme="minorEastAsia"/>
        </w:rPr>
        <w:t xml:space="preserve">koszty operacyjne procesów, przychody ze sprzedaży, wartość wymaganych aktywów i finalnie istotnie oddziałują na wynik przedsiębiorstwa                                    i wypracowany zysk. </w:t>
      </w:r>
      <w:bookmarkStart w:id="0" w:name="_GoBack"/>
      <w:bookmarkEnd w:id="0"/>
    </w:p>
    <w:p w:rsidR="00614BEB" w:rsidRDefault="00614BEB" w:rsidP="00E9124A">
      <w:pPr>
        <w:spacing w:after="0" w:line="240" w:lineRule="auto"/>
        <w:jc w:val="both"/>
        <w:rPr>
          <w:rFonts w:eastAsiaTheme="minorEastAsia"/>
        </w:rPr>
      </w:pPr>
    </w:p>
    <w:p w:rsidR="00614BEB" w:rsidRPr="00614BEB" w:rsidRDefault="00614BEB" w:rsidP="00614BEB">
      <w:pPr>
        <w:spacing w:after="0" w:line="240" w:lineRule="auto"/>
        <w:jc w:val="center"/>
        <w:rPr>
          <w:b/>
        </w:rPr>
      </w:pPr>
      <w:r w:rsidRPr="00614BEB">
        <w:rPr>
          <w:b/>
        </w:rPr>
        <w:t>ZRÓWNOWAŻONY PORTFEL MIERNIKÓW</w:t>
      </w:r>
      <w:r>
        <w:rPr>
          <w:rStyle w:val="Odwoanieprzypisudolnego"/>
          <w:b/>
        </w:rPr>
        <w:footnoteReference w:id="2"/>
      </w:r>
    </w:p>
    <w:p w:rsidR="00614BEB" w:rsidRDefault="00614BEB" w:rsidP="00614BEB">
      <w:pPr>
        <w:spacing w:after="0" w:line="240" w:lineRule="auto"/>
        <w:jc w:val="both"/>
      </w:pPr>
    </w:p>
    <w:p w:rsidR="00614BEB" w:rsidRDefault="00614BEB" w:rsidP="00614BEB">
      <w:pPr>
        <w:spacing w:after="0" w:line="240" w:lineRule="auto"/>
        <w:jc w:val="both"/>
      </w:pPr>
      <w:r>
        <w:t xml:space="preserve">Przesadna koncentracja na określonych miernikach sprawności działania  zaszkodziła niejednemu przedsiębiorstwu. Np. duży nacisk na wydajność pracowników może prowadzić do powstania nadmiernych zapasów materiałów (gdy przerwy w produkcji spowodowane wyczerpaniem zapasów oznaczają obcięcie premii) i wyrobów gotowych (gdy najważniejsze jest, by pracownicy mieli zajęcie bez względu na wielkość popytu). Dążenie do maksymalizacji wydajności powoduje zakłócenia przepływu dóbr w sieci dostaw, bo komponenty zamawia się ze zbyt dużym wyprzedzeniem, a wyroby gotowe za wcześnie trafiają do magazynu. To co jest dobre z punktu widzenia jednego miernika (w tym wypadku wydajności), pogarsza inne wskaźniki (cykl rotacji zapasów materiałów i wyrobów gotowych). </w:t>
      </w:r>
    </w:p>
    <w:p w:rsidR="00045ACD" w:rsidRDefault="00045ACD" w:rsidP="00614BEB">
      <w:pPr>
        <w:spacing w:after="0" w:line="240" w:lineRule="auto"/>
        <w:jc w:val="both"/>
      </w:pPr>
    </w:p>
    <w:p w:rsidR="00045ACD" w:rsidRDefault="00045ACD" w:rsidP="00614BEB">
      <w:pPr>
        <w:spacing w:after="0" w:line="240" w:lineRule="auto"/>
        <w:jc w:val="both"/>
      </w:pPr>
      <w:r>
        <w:t xml:space="preserve">W praktyce współcześni  menedżerowie stoją przed koniecznością równoczesnego zaspokajania oczekiwań wielu różnych grup interesu, do których w przedsiębiorstwie zalicza się właścicieli, pracowników, klientów, dostawców, społeczność lokalną i administrację </w:t>
      </w:r>
      <w:r w:rsidR="00F2441C">
        <w:t>publiczną. W zależności od branży lista ta może obejmować także inne podmioty. Zadanie kierownictwa przedsiębiorstwa polega na pogodzeniu za sobą</w:t>
      </w:r>
      <w:r w:rsidR="00BB6B01">
        <w:t xml:space="preserve"> sprzecznych </w:t>
      </w:r>
      <w:r w:rsidR="00F2441C">
        <w:t>interesów tych wszystkich podmiotów</w:t>
      </w:r>
      <w:r w:rsidR="00BB6B01">
        <w:t>.</w:t>
      </w:r>
    </w:p>
    <w:p w:rsidR="00614BEB" w:rsidRDefault="00614BEB" w:rsidP="00614BEB">
      <w:pPr>
        <w:spacing w:after="0" w:line="240" w:lineRule="auto"/>
        <w:jc w:val="both"/>
      </w:pPr>
    </w:p>
    <w:p w:rsidR="00614BEB" w:rsidRDefault="00614BEB" w:rsidP="00614BEB">
      <w:pPr>
        <w:spacing w:after="0" w:line="240" w:lineRule="auto"/>
        <w:jc w:val="both"/>
      </w:pPr>
    </w:p>
    <w:p w:rsidR="00614BEB" w:rsidRDefault="00614BEB" w:rsidP="00614BEB">
      <w:pPr>
        <w:spacing w:after="0" w:line="240" w:lineRule="auto"/>
        <w:jc w:val="both"/>
      </w:pPr>
    </w:p>
    <w:p w:rsidR="00614BEB" w:rsidRDefault="00614BEB" w:rsidP="00614BEB">
      <w:pPr>
        <w:spacing w:after="0" w:line="240" w:lineRule="auto"/>
        <w:jc w:val="center"/>
        <w:rPr>
          <w:b/>
        </w:rPr>
      </w:pPr>
    </w:p>
    <w:p w:rsidR="00614BEB" w:rsidRDefault="00614BEB" w:rsidP="00614BEB">
      <w:pPr>
        <w:spacing w:after="0" w:line="240" w:lineRule="auto"/>
        <w:jc w:val="center"/>
        <w:rPr>
          <w:b/>
        </w:rPr>
      </w:pPr>
    </w:p>
    <w:p w:rsidR="00614BEB" w:rsidRDefault="00614BEB" w:rsidP="00614BEB">
      <w:pPr>
        <w:spacing w:after="0" w:line="240" w:lineRule="auto"/>
        <w:jc w:val="center"/>
        <w:rPr>
          <w:b/>
        </w:rPr>
      </w:pPr>
    </w:p>
    <w:p w:rsidR="00614BEB" w:rsidRPr="00E9124A" w:rsidRDefault="00614BEB" w:rsidP="00E9124A">
      <w:pPr>
        <w:spacing w:after="0" w:line="240" w:lineRule="auto"/>
        <w:jc w:val="both"/>
        <w:rPr>
          <w:rFonts w:eastAsiaTheme="minorEastAsia"/>
        </w:rPr>
      </w:pPr>
    </w:p>
    <w:sectPr w:rsidR="00614BEB" w:rsidRPr="00E9124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BFC" w:rsidRDefault="00032BFC" w:rsidP="00407A46">
      <w:pPr>
        <w:spacing w:after="0" w:line="240" w:lineRule="auto"/>
      </w:pPr>
      <w:r>
        <w:separator/>
      </w:r>
    </w:p>
  </w:endnote>
  <w:endnote w:type="continuationSeparator" w:id="0">
    <w:p w:rsidR="00032BFC" w:rsidRDefault="00032BFC" w:rsidP="00407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2FF" w:usb1="420024FF"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BFC" w:rsidRDefault="00032BFC" w:rsidP="00407A46">
      <w:pPr>
        <w:spacing w:after="0" w:line="240" w:lineRule="auto"/>
      </w:pPr>
      <w:r>
        <w:separator/>
      </w:r>
    </w:p>
  </w:footnote>
  <w:footnote w:type="continuationSeparator" w:id="0">
    <w:p w:rsidR="00032BFC" w:rsidRDefault="00032BFC" w:rsidP="00407A46">
      <w:pPr>
        <w:spacing w:after="0" w:line="240" w:lineRule="auto"/>
      </w:pPr>
      <w:r>
        <w:continuationSeparator/>
      </w:r>
    </w:p>
  </w:footnote>
  <w:footnote w:id="1">
    <w:p w:rsidR="00D475DC" w:rsidRPr="00D475DC" w:rsidRDefault="00D475DC" w:rsidP="00D475DC">
      <w:pPr>
        <w:pStyle w:val="Tekstprzypisudolnego"/>
        <w:jc w:val="both"/>
      </w:pPr>
      <w:r>
        <w:rPr>
          <w:rStyle w:val="Odwoanieprzypisudolnego"/>
        </w:rPr>
        <w:footnoteRef/>
      </w:r>
      <w:r w:rsidRPr="00D475DC">
        <w:t xml:space="preserve"> Christopher M., Logistyka I zarządzanie łańcuchem podaży. </w:t>
      </w:r>
      <w:r>
        <w:t>Jak obniżyć koszty i poprawić jakość obsługi, Wydawnictwo Profesjonalnej Szkoły Biznesu, s.94-95.</w:t>
      </w:r>
    </w:p>
  </w:footnote>
  <w:footnote w:id="2">
    <w:p w:rsidR="00614BEB" w:rsidRPr="00614BEB" w:rsidRDefault="00614BEB" w:rsidP="00614BEB">
      <w:pPr>
        <w:pStyle w:val="Tekstprzypisudolnego"/>
      </w:pPr>
      <w:r>
        <w:rPr>
          <w:rStyle w:val="Odwoanieprzypisudolnego"/>
        </w:rPr>
        <w:footnoteRef/>
      </w:r>
      <w:r w:rsidRPr="00614BEB">
        <w:t xml:space="preserve"> Harrison A., Van Hoek R., Zarządzanie logistyką, PWE, Warszawa 2010, s.</w:t>
      </w:r>
      <w:r>
        <w:t>133-143.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39C6"/>
    <w:multiLevelType w:val="hybridMultilevel"/>
    <w:tmpl w:val="1F16D5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85423BD"/>
    <w:multiLevelType w:val="hybridMultilevel"/>
    <w:tmpl w:val="7A28B8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AF05756"/>
    <w:multiLevelType w:val="hybridMultilevel"/>
    <w:tmpl w:val="6E6A6A98"/>
    <w:lvl w:ilvl="0" w:tplc="0415000F">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nsid w:val="0C467FC8"/>
    <w:multiLevelType w:val="hybridMultilevel"/>
    <w:tmpl w:val="EF0C2380"/>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
    <w:nsid w:val="10E01F4A"/>
    <w:multiLevelType w:val="hybridMultilevel"/>
    <w:tmpl w:val="26B09C88"/>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5">
    <w:nsid w:val="12A44676"/>
    <w:multiLevelType w:val="hybridMultilevel"/>
    <w:tmpl w:val="924861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4274D60"/>
    <w:multiLevelType w:val="hybridMultilevel"/>
    <w:tmpl w:val="3D72A2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F757E97"/>
    <w:multiLevelType w:val="hybridMultilevel"/>
    <w:tmpl w:val="4800A1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2D2A50C5"/>
    <w:multiLevelType w:val="hybridMultilevel"/>
    <w:tmpl w:val="9788B1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387A4DC5"/>
    <w:multiLevelType w:val="hybridMultilevel"/>
    <w:tmpl w:val="830A99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406E00F8"/>
    <w:multiLevelType w:val="hybridMultilevel"/>
    <w:tmpl w:val="D42C21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43CE001E"/>
    <w:multiLevelType w:val="hybridMultilevel"/>
    <w:tmpl w:val="60DEB8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44610B73"/>
    <w:multiLevelType w:val="hybridMultilevel"/>
    <w:tmpl w:val="C1CAE5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447335BB"/>
    <w:multiLevelType w:val="hybridMultilevel"/>
    <w:tmpl w:val="E51600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49BD242C"/>
    <w:multiLevelType w:val="hybridMultilevel"/>
    <w:tmpl w:val="30E897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56A826C5"/>
    <w:multiLevelType w:val="hybridMultilevel"/>
    <w:tmpl w:val="2D32550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6">
    <w:nsid w:val="5AB51B66"/>
    <w:multiLevelType w:val="hybridMultilevel"/>
    <w:tmpl w:val="A46C65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5E5D57E5"/>
    <w:multiLevelType w:val="hybridMultilevel"/>
    <w:tmpl w:val="836E8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76A859E2"/>
    <w:multiLevelType w:val="hybridMultilevel"/>
    <w:tmpl w:val="FBA222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14"/>
  </w:num>
  <w:num w:numId="3">
    <w:abstractNumId w:val="3"/>
  </w:num>
  <w:num w:numId="4">
    <w:abstractNumId w:val="8"/>
  </w:num>
  <w:num w:numId="5">
    <w:abstractNumId w:val="9"/>
  </w:num>
  <w:num w:numId="6">
    <w:abstractNumId w:val="6"/>
  </w:num>
  <w:num w:numId="7">
    <w:abstractNumId w:val="4"/>
  </w:num>
  <w:num w:numId="8">
    <w:abstractNumId w:val="2"/>
  </w:num>
  <w:num w:numId="9">
    <w:abstractNumId w:val="10"/>
  </w:num>
  <w:num w:numId="10">
    <w:abstractNumId w:val="15"/>
  </w:num>
  <w:num w:numId="11">
    <w:abstractNumId w:val="0"/>
  </w:num>
  <w:num w:numId="12">
    <w:abstractNumId w:val="12"/>
  </w:num>
  <w:num w:numId="13">
    <w:abstractNumId w:val="16"/>
  </w:num>
  <w:num w:numId="14">
    <w:abstractNumId w:val="1"/>
  </w:num>
  <w:num w:numId="15">
    <w:abstractNumId w:val="5"/>
  </w:num>
  <w:num w:numId="16">
    <w:abstractNumId w:val="18"/>
  </w:num>
  <w:num w:numId="17">
    <w:abstractNumId w:val="13"/>
  </w:num>
  <w:num w:numId="18">
    <w:abstractNumId w:val="17"/>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F3F"/>
    <w:rsid w:val="00003DFB"/>
    <w:rsid w:val="0001371C"/>
    <w:rsid w:val="00024045"/>
    <w:rsid w:val="00032BFC"/>
    <w:rsid w:val="00045ACD"/>
    <w:rsid w:val="00071335"/>
    <w:rsid w:val="000A0522"/>
    <w:rsid w:val="000B58D9"/>
    <w:rsid w:val="000C3CB4"/>
    <w:rsid w:val="000F3AE1"/>
    <w:rsid w:val="000F560F"/>
    <w:rsid w:val="00121479"/>
    <w:rsid w:val="0012421D"/>
    <w:rsid w:val="0012464B"/>
    <w:rsid w:val="00127869"/>
    <w:rsid w:val="001378DB"/>
    <w:rsid w:val="00186040"/>
    <w:rsid w:val="00186C2B"/>
    <w:rsid w:val="00186E3E"/>
    <w:rsid w:val="001A0137"/>
    <w:rsid w:val="001A5BFF"/>
    <w:rsid w:val="001B733D"/>
    <w:rsid w:val="001C34CF"/>
    <w:rsid w:val="001D5518"/>
    <w:rsid w:val="001E6B6F"/>
    <w:rsid w:val="0021297B"/>
    <w:rsid w:val="002168C2"/>
    <w:rsid w:val="002179BC"/>
    <w:rsid w:val="00221F91"/>
    <w:rsid w:val="0027537B"/>
    <w:rsid w:val="002928FF"/>
    <w:rsid w:val="002A4CD8"/>
    <w:rsid w:val="002A74B3"/>
    <w:rsid w:val="002B3A4C"/>
    <w:rsid w:val="002C385D"/>
    <w:rsid w:val="002C71AF"/>
    <w:rsid w:val="002D0D9D"/>
    <w:rsid w:val="002D4674"/>
    <w:rsid w:val="002F0231"/>
    <w:rsid w:val="002F20EB"/>
    <w:rsid w:val="0031697F"/>
    <w:rsid w:val="00326DB0"/>
    <w:rsid w:val="00340DBF"/>
    <w:rsid w:val="003B0E5F"/>
    <w:rsid w:val="003B37CB"/>
    <w:rsid w:val="003F19E9"/>
    <w:rsid w:val="004018B2"/>
    <w:rsid w:val="004021B4"/>
    <w:rsid w:val="00407A46"/>
    <w:rsid w:val="004554F3"/>
    <w:rsid w:val="00461540"/>
    <w:rsid w:val="00480E61"/>
    <w:rsid w:val="004C197F"/>
    <w:rsid w:val="004E40E2"/>
    <w:rsid w:val="004F7CEE"/>
    <w:rsid w:val="00512AAE"/>
    <w:rsid w:val="00515ABC"/>
    <w:rsid w:val="00524517"/>
    <w:rsid w:val="005543DB"/>
    <w:rsid w:val="00591E46"/>
    <w:rsid w:val="005939A4"/>
    <w:rsid w:val="005B453D"/>
    <w:rsid w:val="005B67DC"/>
    <w:rsid w:val="005B7F0E"/>
    <w:rsid w:val="00614BEB"/>
    <w:rsid w:val="0062648E"/>
    <w:rsid w:val="00627A46"/>
    <w:rsid w:val="00627C9B"/>
    <w:rsid w:val="00667C1E"/>
    <w:rsid w:val="00676D09"/>
    <w:rsid w:val="00680DD5"/>
    <w:rsid w:val="006A48C0"/>
    <w:rsid w:val="006D7607"/>
    <w:rsid w:val="006E17D6"/>
    <w:rsid w:val="00732D1D"/>
    <w:rsid w:val="00742964"/>
    <w:rsid w:val="00774F82"/>
    <w:rsid w:val="00781F53"/>
    <w:rsid w:val="007A6AC4"/>
    <w:rsid w:val="007B0032"/>
    <w:rsid w:val="007C4166"/>
    <w:rsid w:val="007E6715"/>
    <w:rsid w:val="007F22A5"/>
    <w:rsid w:val="00823DDD"/>
    <w:rsid w:val="00857F90"/>
    <w:rsid w:val="00863F4D"/>
    <w:rsid w:val="008B7724"/>
    <w:rsid w:val="008C7D11"/>
    <w:rsid w:val="008D1021"/>
    <w:rsid w:val="008D2294"/>
    <w:rsid w:val="008E0765"/>
    <w:rsid w:val="008E6E77"/>
    <w:rsid w:val="00911C0D"/>
    <w:rsid w:val="0092372C"/>
    <w:rsid w:val="00925D37"/>
    <w:rsid w:val="009319D6"/>
    <w:rsid w:val="00937FE4"/>
    <w:rsid w:val="00952986"/>
    <w:rsid w:val="00953466"/>
    <w:rsid w:val="00967370"/>
    <w:rsid w:val="00986F19"/>
    <w:rsid w:val="00992E80"/>
    <w:rsid w:val="009A0548"/>
    <w:rsid w:val="009D2249"/>
    <w:rsid w:val="00A01B84"/>
    <w:rsid w:val="00A51A2F"/>
    <w:rsid w:val="00A5575C"/>
    <w:rsid w:val="00A57DBE"/>
    <w:rsid w:val="00A84FDE"/>
    <w:rsid w:val="00A91A98"/>
    <w:rsid w:val="00AB6484"/>
    <w:rsid w:val="00AC551D"/>
    <w:rsid w:val="00AE601C"/>
    <w:rsid w:val="00B01E6D"/>
    <w:rsid w:val="00B114DC"/>
    <w:rsid w:val="00B11818"/>
    <w:rsid w:val="00B11C4E"/>
    <w:rsid w:val="00B11D8E"/>
    <w:rsid w:val="00B45A2D"/>
    <w:rsid w:val="00B73818"/>
    <w:rsid w:val="00B83BCF"/>
    <w:rsid w:val="00B8714F"/>
    <w:rsid w:val="00BA0DF7"/>
    <w:rsid w:val="00BA53B0"/>
    <w:rsid w:val="00BB6B01"/>
    <w:rsid w:val="00BD6A14"/>
    <w:rsid w:val="00BE0FFD"/>
    <w:rsid w:val="00C0139C"/>
    <w:rsid w:val="00C0510E"/>
    <w:rsid w:val="00C62324"/>
    <w:rsid w:val="00C72180"/>
    <w:rsid w:val="00C8173D"/>
    <w:rsid w:val="00C83866"/>
    <w:rsid w:val="00CB45F6"/>
    <w:rsid w:val="00CE23C6"/>
    <w:rsid w:val="00D0046A"/>
    <w:rsid w:val="00D048EB"/>
    <w:rsid w:val="00D17655"/>
    <w:rsid w:val="00D21454"/>
    <w:rsid w:val="00D232A7"/>
    <w:rsid w:val="00D475DC"/>
    <w:rsid w:val="00D63849"/>
    <w:rsid w:val="00D65BC0"/>
    <w:rsid w:val="00DB5843"/>
    <w:rsid w:val="00DC2292"/>
    <w:rsid w:val="00DC347C"/>
    <w:rsid w:val="00DE4B9F"/>
    <w:rsid w:val="00E101FC"/>
    <w:rsid w:val="00E10DE0"/>
    <w:rsid w:val="00E170B9"/>
    <w:rsid w:val="00E35FAD"/>
    <w:rsid w:val="00E54F86"/>
    <w:rsid w:val="00E67ED7"/>
    <w:rsid w:val="00E76061"/>
    <w:rsid w:val="00E83F3F"/>
    <w:rsid w:val="00E84374"/>
    <w:rsid w:val="00E9124A"/>
    <w:rsid w:val="00EA79C3"/>
    <w:rsid w:val="00EB1A78"/>
    <w:rsid w:val="00EB3C87"/>
    <w:rsid w:val="00EB3DDF"/>
    <w:rsid w:val="00F12D81"/>
    <w:rsid w:val="00F2441C"/>
    <w:rsid w:val="00F37D8D"/>
    <w:rsid w:val="00F75075"/>
    <w:rsid w:val="00F85D7E"/>
    <w:rsid w:val="00FA6E44"/>
    <w:rsid w:val="00FA7AE3"/>
    <w:rsid w:val="00FA7C33"/>
    <w:rsid w:val="00FF71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1765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17655"/>
    <w:rPr>
      <w:rFonts w:ascii="Tahoma" w:hAnsi="Tahoma" w:cs="Tahoma"/>
      <w:sz w:val="16"/>
      <w:szCs w:val="16"/>
    </w:rPr>
  </w:style>
  <w:style w:type="table" w:styleId="Tabela-Siatka">
    <w:name w:val="Table Grid"/>
    <w:basedOn w:val="Standardowy"/>
    <w:uiPriority w:val="59"/>
    <w:rsid w:val="00925D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4F7CEE"/>
    <w:pPr>
      <w:ind w:left="720"/>
      <w:contextualSpacing/>
    </w:pPr>
  </w:style>
  <w:style w:type="paragraph" w:customStyle="1" w:styleId="Default">
    <w:name w:val="Default"/>
    <w:rsid w:val="000F3AE1"/>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
    <w:name w:val="Tabela - Siatka1"/>
    <w:basedOn w:val="Standardowy"/>
    <w:next w:val="Tabela-Siatka"/>
    <w:uiPriority w:val="59"/>
    <w:rsid w:val="000F3A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basedOn w:val="Domylnaczcionkaakapitu"/>
    <w:uiPriority w:val="99"/>
    <w:semiHidden/>
    <w:unhideWhenUsed/>
    <w:rsid w:val="000F3AE1"/>
    <w:rPr>
      <w:color w:val="0000FF"/>
      <w:u w:val="single"/>
    </w:rPr>
  </w:style>
  <w:style w:type="character" w:styleId="Pogrubienie">
    <w:name w:val="Strong"/>
    <w:basedOn w:val="Domylnaczcionkaakapitu"/>
    <w:uiPriority w:val="22"/>
    <w:qFormat/>
    <w:rsid w:val="000F3AE1"/>
    <w:rPr>
      <w:b/>
      <w:bCs/>
    </w:rPr>
  </w:style>
  <w:style w:type="paragraph" w:styleId="NormalnyWeb">
    <w:name w:val="Normal (Web)"/>
    <w:basedOn w:val="Normalny"/>
    <w:uiPriority w:val="99"/>
    <w:semiHidden/>
    <w:unhideWhenUsed/>
    <w:rsid w:val="000F3AE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Tekstzastpczy">
    <w:name w:val="Placeholder Text"/>
    <w:basedOn w:val="Domylnaczcionkaakapitu"/>
    <w:uiPriority w:val="99"/>
    <w:semiHidden/>
    <w:rsid w:val="00480E61"/>
    <w:rPr>
      <w:color w:val="808080"/>
    </w:rPr>
  </w:style>
  <w:style w:type="paragraph" w:styleId="Tekstprzypisudolnego">
    <w:name w:val="footnote text"/>
    <w:basedOn w:val="Normalny"/>
    <w:link w:val="TekstprzypisudolnegoZnak"/>
    <w:uiPriority w:val="99"/>
    <w:semiHidden/>
    <w:unhideWhenUsed/>
    <w:rsid w:val="00407A4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07A46"/>
    <w:rPr>
      <w:sz w:val="20"/>
      <w:szCs w:val="20"/>
    </w:rPr>
  </w:style>
  <w:style w:type="character" w:styleId="Odwoanieprzypisudolnego">
    <w:name w:val="footnote reference"/>
    <w:basedOn w:val="Domylnaczcionkaakapitu"/>
    <w:uiPriority w:val="99"/>
    <w:semiHidden/>
    <w:unhideWhenUsed/>
    <w:rsid w:val="00407A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1765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17655"/>
    <w:rPr>
      <w:rFonts w:ascii="Tahoma" w:hAnsi="Tahoma" w:cs="Tahoma"/>
      <w:sz w:val="16"/>
      <w:szCs w:val="16"/>
    </w:rPr>
  </w:style>
  <w:style w:type="table" w:styleId="Tabela-Siatka">
    <w:name w:val="Table Grid"/>
    <w:basedOn w:val="Standardowy"/>
    <w:uiPriority w:val="59"/>
    <w:rsid w:val="00925D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4F7CEE"/>
    <w:pPr>
      <w:ind w:left="720"/>
      <w:contextualSpacing/>
    </w:pPr>
  </w:style>
  <w:style w:type="paragraph" w:customStyle="1" w:styleId="Default">
    <w:name w:val="Default"/>
    <w:rsid w:val="000F3AE1"/>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
    <w:name w:val="Tabela - Siatka1"/>
    <w:basedOn w:val="Standardowy"/>
    <w:next w:val="Tabela-Siatka"/>
    <w:uiPriority w:val="59"/>
    <w:rsid w:val="000F3A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basedOn w:val="Domylnaczcionkaakapitu"/>
    <w:uiPriority w:val="99"/>
    <w:semiHidden/>
    <w:unhideWhenUsed/>
    <w:rsid w:val="000F3AE1"/>
    <w:rPr>
      <w:color w:val="0000FF"/>
      <w:u w:val="single"/>
    </w:rPr>
  </w:style>
  <w:style w:type="character" w:styleId="Pogrubienie">
    <w:name w:val="Strong"/>
    <w:basedOn w:val="Domylnaczcionkaakapitu"/>
    <w:uiPriority w:val="22"/>
    <w:qFormat/>
    <w:rsid w:val="000F3AE1"/>
    <w:rPr>
      <w:b/>
      <w:bCs/>
    </w:rPr>
  </w:style>
  <w:style w:type="paragraph" w:styleId="NormalnyWeb">
    <w:name w:val="Normal (Web)"/>
    <w:basedOn w:val="Normalny"/>
    <w:uiPriority w:val="99"/>
    <w:semiHidden/>
    <w:unhideWhenUsed/>
    <w:rsid w:val="000F3AE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Tekstzastpczy">
    <w:name w:val="Placeholder Text"/>
    <w:basedOn w:val="Domylnaczcionkaakapitu"/>
    <w:uiPriority w:val="99"/>
    <w:semiHidden/>
    <w:rsid w:val="00480E61"/>
    <w:rPr>
      <w:color w:val="808080"/>
    </w:rPr>
  </w:style>
  <w:style w:type="paragraph" w:styleId="Tekstprzypisudolnego">
    <w:name w:val="footnote text"/>
    <w:basedOn w:val="Normalny"/>
    <w:link w:val="TekstprzypisudolnegoZnak"/>
    <w:uiPriority w:val="99"/>
    <w:semiHidden/>
    <w:unhideWhenUsed/>
    <w:rsid w:val="00407A4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07A46"/>
    <w:rPr>
      <w:sz w:val="20"/>
      <w:szCs w:val="20"/>
    </w:rPr>
  </w:style>
  <w:style w:type="character" w:styleId="Odwoanieprzypisudolnego">
    <w:name w:val="footnote reference"/>
    <w:basedOn w:val="Domylnaczcionkaakapitu"/>
    <w:uiPriority w:val="99"/>
    <w:semiHidden/>
    <w:unhideWhenUsed/>
    <w:rsid w:val="00407A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mfiles.pl/pl/index.php/Popy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mfiles.pl/pl/index.php/Rodzaje_nale%C5%BCno%C5%9Bci" TargetMode="External"/><Relationship Id="rId4" Type="http://schemas.microsoft.com/office/2007/relationships/stylesWithEffects" Target="stylesWithEffects.xml"/><Relationship Id="rId9" Type="http://schemas.openxmlformats.org/officeDocument/2006/relationships/hyperlink" Target="http://mfiles.pl/pl/index.php/Us%C5%82uga"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31BF07-784F-4883-A252-028612BE4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4067</TotalTime>
  <Pages>19</Pages>
  <Words>7072</Words>
  <Characters>42437</Characters>
  <Application>Microsoft Office Word</Application>
  <DocSecurity>0</DocSecurity>
  <Lines>353</Lines>
  <Paragraphs>98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100</cp:revision>
  <cp:lastPrinted>2014-04-11T14:14:00Z</cp:lastPrinted>
  <dcterms:created xsi:type="dcterms:W3CDTF">2014-02-27T17:25:00Z</dcterms:created>
  <dcterms:modified xsi:type="dcterms:W3CDTF">2014-05-01T16:45:00Z</dcterms:modified>
</cp:coreProperties>
</file>