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CB" w:rsidRPr="005B20C9" w:rsidRDefault="005B20C9">
      <w:pPr>
        <w:rPr>
          <w:sz w:val="32"/>
          <w:szCs w:val="32"/>
        </w:rPr>
      </w:pPr>
      <w:r w:rsidRPr="005B20C9">
        <w:rPr>
          <w:sz w:val="32"/>
          <w:szCs w:val="32"/>
        </w:rPr>
        <w:t>Obrót gotówkowy i bezgotówkowy</w:t>
      </w:r>
    </w:p>
    <w:p w:rsidR="005B20C9" w:rsidRDefault="005B20C9" w:rsidP="005B20C9">
      <w:pPr>
        <w:jc w:val="both"/>
      </w:pPr>
      <w:r>
        <w:t xml:space="preserve">Zgodnie z ustawą o rachunkowości do aktywów pieniężnych zalicza się zasoby majątkowe kontrolowane przez jednostkę gospodarczą, występujące w formie krajowych środków płatniczych, walut obcych i dewiz. </w:t>
      </w:r>
    </w:p>
    <w:p w:rsidR="005B20C9" w:rsidRDefault="005B20C9" w:rsidP="005B20C9">
      <w:pPr>
        <w:jc w:val="both"/>
      </w:pPr>
      <w:r>
        <w:t xml:space="preserve">Jeżeli aktywa </w:t>
      </w:r>
      <w:r w:rsidR="002974B4">
        <w:t>(środki) pieniężne są płatne lub wymagalne w ciągu 3 m-</w:t>
      </w:r>
      <w:proofErr w:type="spellStart"/>
      <w:r w:rsidR="002974B4">
        <w:t>cy</w:t>
      </w:r>
      <w:proofErr w:type="spellEnd"/>
      <w:r w:rsidR="002974B4">
        <w:t xml:space="preserve"> od dnia ich otrzymania, wystawienia, nabycia lub założenia (lokaty), to na potrzeby bilansu oraz rachunku przepływów pieniężnych zalicza się je do środków pieniężnych. </w:t>
      </w:r>
    </w:p>
    <w:p w:rsidR="00F52B1F" w:rsidRDefault="00F52B1F" w:rsidP="005B20C9">
      <w:pPr>
        <w:jc w:val="both"/>
      </w:pPr>
      <w:r>
        <w:t xml:space="preserve">Środki pieniężne są najbardziej płynnymi składnikami majątkowymi zaliczanymi do inwestycji krótkoterminowych. Do tej grupy zalicza się środki pieniężne deponowane w kasie przedsiębiorstwa oraz na jego rachunkach bankowych bieżących i pomocniczych. Środki w kasie obejmują gotówkę </w:t>
      </w:r>
      <w:r w:rsidR="0068580C">
        <w:t xml:space="preserve">             </w:t>
      </w:r>
      <w:r>
        <w:t>w walucie krajowej oraz w walu</w:t>
      </w:r>
      <w:r w:rsidR="002112D5">
        <w:t>t</w:t>
      </w:r>
      <w:r>
        <w:t>ach obcych</w:t>
      </w:r>
      <w:r w:rsidR="00513526">
        <w:t>, znajdującą się w kasie jednostki gospodarczej. Z kolei do środków pieniężnych zgromadzonych na rachunkach bankowych zalicza się pieniądze gromadzone na rachunkach rozliczeniowych – bieżących, walutowych i pomocniczych z wyjątkiem lokat terminowych.</w:t>
      </w:r>
    </w:p>
    <w:p w:rsidR="0068580C" w:rsidRDefault="0068580C" w:rsidP="005B20C9">
      <w:pPr>
        <w:jc w:val="both"/>
      </w:pPr>
      <w:r>
        <w:t>Inne środki pieniężne to ekwiwalenty pieniądza charakteryzujące się małym ryzykiem utraty wartości, o szybkiej możliwości ich zamiany na pieniądz gotówkowy, czyli płatne w okresie nie dłuższym niż 3 m-ce od dnia ich otrzymania, wystawienia, nabycia lub założenia (lokaty). Do tej grupy zalicza się:</w:t>
      </w:r>
    </w:p>
    <w:p w:rsidR="0068580C" w:rsidRDefault="0068580C" w:rsidP="0068580C">
      <w:pPr>
        <w:pStyle w:val="Akapitzlist"/>
        <w:numPr>
          <w:ilvl w:val="0"/>
          <w:numId w:val="1"/>
        </w:numPr>
        <w:jc w:val="both"/>
      </w:pPr>
      <w:r>
        <w:t>weksle obce płatne w terminie nie dłuższym niż 3 m-ce,</w:t>
      </w:r>
    </w:p>
    <w:p w:rsidR="0068580C" w:rsidRDefault="0068580C" w:rsidP="0068580C">
      <w:pPr>
        <w:pStyle w:val="Akapitzlist"/>
        <w:numPr>
          <w:ilvl w:val="0"/>
          <w:numId w:val="1"/>
        </w:numPr>
        <w:jc w:val="both"/>
      </w:pPr>
      <w:r>
        <w:t>środki pieniężne będące na dzień bilansowy w drodze, głównie między kasą a rachunkami bankowymi lub między różnymi rachunkami bankowymi,</w:t>
      </w:r>
    </w:p>
    <w:p w:rsidR="0068580C" w:rsidRDefault="0068580C" w:rsidP="0068580C">
      <w:pPr>
        <w:pStyle w:val="Akapitzlist"/>
        <w:numPr>
          <w:ilvl w:val="0"/>
          <w:numId w:val="1"/>
        </w:numPr>
        <w:jc w:val="both"/>
      </w:pPr>
      <w:r>
        <w:t>lokaty założone na okres nie dłuższy niż 3 m-ce,</w:t>
      </w:r>
    </w:p>
    <w:p w:rsidR="0068580C" w:rsidRDefault="0068580C" w:rsidP="0068580C">
      <w:pPr>
        <w:pStyle w:val="Akapitzlist"/>
        <w:numPr>
          <w:ilvl w:val="0"/>
          <w:numId w:val="1"/>
        </w:numPr>
        <w:jc w:val="both"/>
      </w:pPr>
      <w:r>
        <w:t>bony handlowe, komercyjne, skarbowe, NBP, oszczędnościowe, certyfikaty depozytowe,                     o terminie zapadalności do 3 m-</w:t>
      </w:r>
      <w:proofErr w:type="spellStart"/>
      <w:r>
        <w:t>cy</w:t>
      </w:r>
      <w:proofErr w:type="spellEnd"/>
      <w:r>
        <w:t xml:space="preserve">. </w:t>
      </w:r>
    </w:p>
    <w:p w:rsidR="007302EB" w:rsidRDefault="007302EB" w:rsidP="007302EB">
      <w:pPr>
        <w:jc w:val="both"/>
      </w:pPr>
      <w:r>
        <w:t xml:space="preserve">Inne aktywa pieniężne obejmują pozostałe aktywa pieniężne, nieujęte w obu </w:t>
      </w:r>
      <w:r w:rsidR="004F1461">
        <w:t xml:space="preserve">wymienionych </w:t>
      </w:r>
      <w:r>
        <w:t>pozycjach środków pieniężnych</w:t>
      </w:r>
      <w:r w:rsidR="004F1461">
        <w:t xml:space="preserve">. Są to </w:t>
      </w:r>
      <w:r w:rsidR="0044283D">
        <w:t>m.in. krótkoterminowe lokaty założone na okres dłuższy niż 3 m-ce, krótkoterminowe weksle obce o terminie</w:t>
      </w:r>
      <w:r w:rsidR="00D464AC">
        <w:t xml:space="preserve"> płatności dłuższym niż 3 m-ce (czeki obce, bony skarbowe).</w:t>
      </w:r>
    </w:p>
    <w:p w:rsidR="00D464AC" w:rsidRDefault="00D464AC" w:rsidP="007302EB">
      <w:pPr>
        <w:jc w:val="both"/>
      </w:pPr>
      <w:r>
        <w:t>Obrót środkami pieniężnymi może być realizowany przez każdą jednostkę w formie:</w:t>
      </w:r>
    </w:p>
    <w:p w:rsidR="00D464AC" w:rsidRDefault="00D464AC" w:rsidP="00D464AC">
      <w:pPr>
        <w:pStyle w:val="Akapitzlist"/>
        <w:numPr>
          <w:ilvl w:val="0"/>
          <w:numId w:val="2"/>
        </w:numPr>
        <w:jc w:val="both"/>
      </w:pPr>
      <w:r>
        <w:t>gotówkowej – obrót gotówkowy odbywa się za pośrednictwem kasy i oznacza fizyczne wpłaty i wypłaty pieniędzy w związku z prowadzoną działalnością (wypłaty dla pracowników zaliczek na pokrycie kosztów podróży służbowych, zakupy gotówkowe, wypłaty wynagrodzeń). Zasady obrotu gotówkowego w jednostce powinny być uregulowane przez kierownika jednostki                       w instrukcji kasowej.</w:t>
      </w:r>
    </w:p>
    <w:p w:rsidR="00D464AC" w:rsidRDefault="00D464AC" w:rsidP="00D464AC">
      <w:pPr>
        <w:pStyle w:val="Akapitzlist"/>
        <w:numPr>
          <w:ilvl w:val="0"/>
          <w:numId w:val="2"/>
        </w:numPr>
        <w:jc w:val="both"/>
      </w:pPr>
      <w:r>
        <w:t xml:space="preserve">bezgotówkowej – jest realizowany </w:t>
      </w:r>
      <w:r w:rsidR="005900B9">
        <w:t>za pośrednictwem banków, w których przedsiębiorstwo ma otwarte rachunki, a fizyczny obieg pieniędzy zastąpiony jest przez obieg stosownych dokumentów</w:t>
      </w:r>
      <w:r w:rsidR="00C938FC">
        <w:t>. Przykładowe formy rozliczeń: polecenie przelewu, polecenie zapłaty, czeki rozrachunkowe, karty płatnicze.</w:t>
      </w:r>
    </w:p>
    <w:p w:rsidR="00C938FC" w:rsidRDefault="00C938FC" w:rsidP="00E62D27">
      <w:pPr>
        <w:jc w:val="both"/>
      </w:pPr>
      <w:r>
        <w:t xml:space="preserve">Obrót gotówkowy dokonywany w związku z prowadzoną działalnością gospodarczą został prawnie ograniczony na rzecz obrotu bezgotówkowego. </w:t>
      </w:r>
    </w:p>
    <w:p w:rsidR="00C938FC" w:rsidRDefault="00E62D27" w:rsidP="00C938FC">
      <w:pPr>
        <w:jc w:val="both"/>
      </w:pPr>
      <w:r>
        <w:t>Od 1 stycznia 2017 obowiązują</w:t>
      </w:r>
      <w:r w:rsidR="00C938FC">
        <w:t xml:space="preserve"> bardziej restrykcyjne przepisy, zgodnie z którymi dokonywanie lub przyjmowanie płatności związanych z wykonywaną działalnością gospodarczą powinno następować za pośrednictwem rachunku pieniężnego pr</w:t>
      </w:r>
      <w:r w:rsidR="0011641F">
        <w:t>z</w:t>
      </w:r>
      <w:r w:rsidR="00C938FC">
        <w:t>edsiębiorc</w:t>
      </w:r>
      <w:r w:rsidR="0011641F">
        <w:t>y, w każdym przypadku gdy:</w:t>
      </w:r>
    </w:p>
    <w:p w:rsidR="00664702" w:rsidRDefault="00C07B4B" w:rsidP="00C07B4B">
      <w:pPr>
        <w:pStyle w:val="Akapitzlist"/>
        <w:numPr>
          <w:ilvl w:val="0"/>
          <w:numId w:val="5"/>
        </w:numPr>
        <w:jc w:val="both"/>
      </w:pPr>
      <w:r>
        <w:t>stroną transakcji, z której wynika płatność, jest inny przedsiębiorca</w:t>
      </w:r>
      <w:r w:rsidR="008A06E5">
        <w:t>,</w:t>
      </w:r>
    </w:p>
    <w:p w:rsidR="008A06E5" w:rsidRDefault="008A06E5" w:rsidP="00C07B4B">
      <w:pPr>
        <w:pStyle w:val="Akapitzlist"/>
        <w:numPr>
          <w:ilvl w:val="0"/>
          <w:numId w:val="5"/>
        </w:numPr>
        <w:jc w:val="both"/>
      </w:pPr>
      <w:r>
        <w:lastRenderedPageBreak/>
        <w:t xml:space="preserve">jednorazowa wartość transakcji, bez względu na liczbę wynikających z niej płatności, przekracza równowartość 15 000 </w:t>
      </w:r>
      <w:r w:rsidR="00FC06AA">
        <w:t>zł</w:t>
      </w:r>
      <w:r>
        <w:t>, przy czym transakcje w walutach obcych przelicza się na złote wg kursu średniego ogłoszonego przez NBP z ostatniego dnia roboczego poprzedzającego dzień dokonania transakcji.</w:t>
      </w:r>
    </w:p>
    <w:p w:rsidR="00FC06AA" w:rsidRDefault="00FC06AA" w:rsidP="00FC06AA">
      <w:pPr>
        <w:jc w:val="both"/>
      </w:pPr>
      <w:r>
        <w:t xml:space="preserve">Dodatkowo od 1 stycznia 2017 r. podatnicy nie zaliczą do KUP kosztów w tej części, w jakiej płatność dotycząca transakcji spełniające powyższe kryteria została dokonana bez pośrednictwa rachunku płatniczego. </w:t>
      </w:r>
    </w:p>
    <w:p w:rsidR="00FC2AD2" w:rsidRDefault="00FC2AD2" w:rsidP="00FC06AA">
      <w:pPr>
        <w:jc w:val="both"/>
      </w:pPr>
      <w:r>
        <w:t>Do podstawowych form rozliczeń bezgotówkowych należą;</w:t>
      </w:r>
    </w:p>
    <w:p w:rsidR="00FC2AD2" w:rsidRDefault="00FC2AD2" w:rsidP="00FC2AD2">
      <w:pPr>
        <w:pStyle w:val="Akapitzlist"/>
        <w:numPr>
          <w:ilvl w:val="0"/>
          <w:numId w:val="6"/>
        </w:numPr>
        <w:jc w:val="both"/>
      </w:pPr>
      <w:r>
        <w:t>polecenie przelewu – stanowi udzielenie przez dłużnika dyspozycji bankowi do obciążenia jego rachunku określoną kwotą i uznania tą kwotą rachunku wierzyciela,</w:t>
      </w:r>
    </w:p>
    <w:p w:rsidR="00FC2AD2" w:rsidRDefault="00FC2AD2" w:rsidP="00FC06AA">
      <w:pPr>
        <w:pStyle w:val="Akapitzlist"/>
        <w:numPr>
          <w:ilvl w:val="0"/>
          <w:numId w:val="6"/>
        </w:numPr>
        <w:jc w:val="both"/>
      </w:pPr>
      <w:r>
        <w:t>polecenie zapłaty – polega na udzieleniu przez wierzyciela dyspozycji bankowi do obciążenia określoną kwotą rachunku dłużnika i uznania tą kwotą rachunku wierzyciela, polecenie zapłaty wymaga zgody dłużnika,</w:t>
      </w:r>
    </w:p>
    <w:p w:rsidR="00FC2AD2" w:rsidRDefault="00FC2AD2" w:rsidP="00FC06AA">
      <w:pPr>
        <w:pStyle w:val="Akapitzlist"/>
        <w:numPr>
          <w:ilvl w:val="0"/>
          <w:numId w:val="6"/>
        </w:numPr>
        <w:jc w:val="both"/>
      </w:pPr>
      <w:r>
        <w:t>karta płatnicza</w:t>
      </w:r>
      <w:r w:rsidR="00D016E1">
        <w:t xml:space="preserve"> – karta emitowana przez bank, pozwalająca na szybką </w:t>
      </w:r>
      <w:r w:rsidR="007D753E">
        <w:t>regulację bieżących zobowiązań w ramach posiadanego limitu środków pieniężnych, obecnie najpopularniejsza                  i najwygodniejsza forma rozliczeń, wyróżnia się karty: debetowe, kredytowe, obciążeniowe                  i przedpłacone,</w:t>
      </w:r>
    </w:p>
    <w:p w:rsidR="007D753E" w:rsidRDefault="007D753E" w:rsidP="00FC06AA">
      <w:pPr>
        <w:pStyle w:val="Akapitzlist"/>
        <w:numPr>
          <w:ilvl w:val="0"/>
          <w:numId w:val="6"/>
        </w:numPr>
        <w:jc w:val="both"/>
      </w:pPr>
      <w:r>
        <w:t>akredytywa – dłużnik wydaje dyspozycję bankowi do wypłacenia określonej kwoty wierzytelności w zamian za złożenie przez wierzyciela dokumentów umożliwiających odbiór towaru,</w:t>
      </w:r>
      <w:r w:rsidRPr="007D753E">
        <w:t xml:space="preserve"> </w:t>
      </w:r>
      <w:r>
        <w:t xml:space="preserve">inaczej: jest pisemnym zobowiązaniem </w:t>
      </w:r>
      <w:hyperlink r:id="rId5" w:tooltip="Bank" w:history="1">
        <w:r w:rsidRPr="007D753E">
          <w:rPr>
            <w:rStyle w:val="Hipercze"/>
            <w:color w:val="auto"/>
            <w:u w:val="none"/>
          </w:rPr>
          <w:t>banku</w:t>
        </w:r>
      </w:hyperlink>
      <w:r>
        <w:t xml:space="preserve">, którego klientem jest kupujący (lub </w:t>
      </w:r>
      <w:hyperlink r:id="rId6" w:tooltip="Import" w:history="1">
        <w:r w:rsidRPr="007D753E">
          <w:rPr>
            <w:rStyle w:val="Hipercze"/>
            <w:color w:val="auto"/>
            <w:u w:val="none"/>
          </w:rPr>
          <w:t>importer</w:t>
        </w:r>
      </w:hyperlink>
      <w:r>
        <w:t xml:space="preserve">) do wypłacenia wskazanemu sprzedającemu (lub </w:t>
      </w:r>
      <w:hyperlink r:id="rId7" w:tooltip="Eksport" w:history="1">
        <w:r w:rsidRPr="007D753E">
          <w:rPr>
            <w:rStyle w:val="Hipercze"/>
            <w:color w:val="auto"/>
            <w:u w:val="none"/>
          </w:rPr>
          <w:t>eksporterowi</w:t>
        </w:r>
      </w:hyperlink>
      <w:r>
        <w:t>) określonej kwoty,                 w uzgodnionym terminie i zgodnie z warunkami akredytywy, najczęściej występuje przy transakcjach zwiększonego ryzyka,</w:t>
      </w:r>
    </w:p>
    <w:p w:rsidR="007D753E" w:rsidRDefault="007D753E" w:rsidP="00FC06AA">
      <w:pPr>
        <w:pStyle w:val="Akapitzlist"/>
        <w:numPr>
          <w:ilvl w:val="0"/>
          <w:numId w:val="6"/>
        </w:numPr>
        <w:jc w:val="both"/>
      </w:pPr>
      <w:r>
        <w:t>inkaso – zleceniodawca inkasa (wierzyciel) zobowiązuje swój bank do wydania dłużnikowi dokumentów umożliwiających odbiór towaru w zamian za zapłatę kwoty wierzytelności,</w:t>
      </w:r>
    </w:p>
    <w:p w:rsidR="00C43782" w:rsidRDefault="00C43782" w:rsidP="00FC06AA">
      <w:pPr>
        <w:pStyle w:val="Akapitzlist"/>
        <w:numPr>
          <w:ilvl w:val="0"/>
          <w:numId w:val="6"/>
        </w:numPr>
        <w:jc w:val="both"/>
      </w:pPr>
      <w:r>
        <w:t>rozliczenia planowe – stosowane są przy periodycznych transakcjach między przedsiębiorcami, polegają na dokonywaniu przez dłużnika stałych wpłat zaliczkowych na planowane dostawy,                 a finalna regulacja zobowiązania następuje poprzez porównanie sumy zaliczkowych wpłat                      z wartością zobowiązania,</w:t>
      </w:r>
    </w:p>
    <w:p w:rsidR="00E70921" w:rsidRDefault="00C43782" w:rsidP="00667C10">
      <w:pPr>
        <w:pStyle w:val="Akapitzlist"/>
        <w:numPr>
          <w:ilvl w:val="0"/>
          <w:numId w:val="6"/>
        </w:numPr>
        <w:jc w:val="both"/>
      </w:pPr>
      <w:r>
        <w:t>weksel – dokument zobowiązujący wystawcę bądź wskazaną osobę do bezwarunkowej zapłaty kwoty pieniężnej, na którą weksel został wystawiony, w ustalonym terminie i miejscu.</w:t>
      </w:r>
    </w:p>
    <w:p w:rsidR="00E62D27" w:rsidRDefault="00E62D27" w:rsidP="00E62D27">
      <w:pPr>
        <w:pStyle w:val="Akapitzlist"/>
        <w:jc w:val="both"/>
      </w:pPr>
    </w:p>
    <w:p w:rsidR="00E62D27" w:rsidRPr="00E62D27" w:rsidRDefault="00E62D27" w:rsidP="00E62D27">
      <w:pPr>
        <w:pStyle w:val="Akapitzlist"/>
        <w:jc w:val="both"/>
      </w:pPr>
    </w:p>
    <w:p w:rsidR="00667C10" w:rsidRPr="00D664EF" w:rsidRDefault="003448A2" w:rsidP="00667C10">
      <w:pPr>
        <w:jc w:val="both"/>
        <w:rPr>
          <w:sz w:val="32"/>
          <w:szCs w:val="32"/>
        </w:rPr>
      </w:pPr>
      <w:r w:rsidRPr="00D664EF">
        <w:rPr>
          <w:sz w:val="32"/>
          <w:szCs w:val="32"/>
        </w:rPr>
        <w:t>Weksle własne i obce</w:t>
      </w:r>
    </w:p>
    <w:p w:rsidR="00796B0F" w:rsidRDefault="00194633" w:rsidP="00667C10">
      <w:pPr>
        <w:jc w:val="both"/>
      </w:pPr>
      <w:r>
        <w:t>Weksle obce:</w:t>
      </w:r>
    </w:p>
    <w:p w:rsidR="00194633" w:rsidRDefault="00194633" w:rsidP="00194633">
      <w:pPr>
        <w:pStyle w:val="Akapitzlist"/>
        <w:numPr>
          <w:ilvl w:val="0"/>
          <w:numId w:val="7"/>
        </w:numPr>
        <w:jc w:val="both"/>
      </w:pPr>
      <w:r>
        <w:t>otrzymane jako zabezpieczenie (gwarancja) wykonania umowy – ewidencjonowane są tylko na koncie pozabilansowym „Należności warunkowe”,</w:t>
      </w:r>
    </w:p>
    <w:p w:rsidR="00194633" w:rsidRDefault="00194633" w:rsidP="00194633">
      <w:pPr>
        <w:pStyle w:val="Akapitzlist"/>
        <w:numPr>
          <w:ilvl w:val="0"/>
          <w:numId w:val="7"/>
        </w:numPr>
        <w:jc w:val="both"/>
      </w:pPr>
      <w:r>
        <w:t>otrzymane jako spłata należności – mogą być ewidencjonowane na odrębnym koncie „Weksle obce” wyodrębnionym z konta „Inne środki pieniężne”. Do konta „Weksle obce” należy prowadzić ewidencję analityczną, która dostarczy informacji o:</w:t>
      </w:r>
    </w:p>
    <w:p w:rsidR="00194633" w:rsidRDefault="00194633" w:rsidP="00194633">
      <w:pPr>
        <w:pStyle w:val="Akapitzlist"/>
        <w:numPr>
          <w:ilvl w:val="1"/>
          <w:numId w:val="7"/>
        </w:numPr>
        <w:jc w:val="both"/>
      </w:pPr>
      <w:r>
        <w:t>ilości posiadanych weksli i ich wartości,</w:t>
      </w:r>
    </w:p>
    <w:p w:rsidR="00194633" w:rsidRDefault="00194633" w:rsidP="00194633">
      <w:pPr>
        <w:pStyle w:val="Akapitzlist"/>
        <w:numPr>
          <w:ilvl w:val="1"/>
          <w:numId w:val="7"/>
        </w:numPr>
        <w:jc w:val="both"/>
      </w:pPr>
      <w:r>
        <w:t>terminach wykupu weksla (do i powyżej 3miesięcy),</w:t>
      </w:r>
    </w:p>
    <w:p w:rsidR="00194633" w:rsidRDefault="00194633" w:rsidP="00194633">
      <w:pPr>
        <w:pStyle w:val="Akapitzlist"/>
        <w:numPr>
          <w:ilvl w:val="1"/>
          <w:numId w:val="7"/>
        </w:numPr>
        <w:jc w:val="both"/>
      </w:pPr>
      <w:r>
        <w:t>ilości i wartości weksli oprotestowanych.</w:t>
      </w:r>
    </w:p>
    <w:p w:rsidR="00194633" w:rsidRDefault="00194633" w:rsidP="00194633">
      <w:pPr>
        <w:jc w:val="both"/>
      </w:pPr>
      <w:r>
        <w:lastRenderedPageBreak/>
        <w:t>Weksle własne:</w:t>
      </w:r>
    </w:p>
    <w:p w:rsidR="00194633" w:rsidRDefault="00142F2E" w:rsidP="00194633">
      <w:pPr>
        <w:pStyle w:val="Akapitzlist"/>
        <w:numPr>
          <w:ilvl w:val="0"/>
          <w:numId w:val="8"/>
        </w:numPr>
        <w:jc w:val="both"/>
      </w:pPr>
      <w:r>
        <w:t>wystawione jako zabezpieczenie (gwarancja) wykonania umowy – ewidencjonowane są tylko na koncie pozabilansowym „Zobowiązania warunkowe”, na tym koncie księguje się również weksle obce indosowane – do czasu ich wykupu,</w:t>
      </w:r>
    </w:p>
    <w:p w:rsidR="00B431C5" w:rsidRDefault="00B431C5" w:rsidP="00194633">
      <w:pPr>
        <w:pStyle w:val="Akapitzlist"/>
        <w:numPr>
          <w:ilvl w:val="0"/>
          <w:numId w:val="8"/>
        </w:numPr>
        <w:jc w:val="both"/>
      </w:pPr>
      <w:r>
        <w:t>wystawione jako spłata zobowiązań – ewidencjonowane są do czasu ich wykupu na koncie „Zobowiązania wekslowe”.</w:t>
      </w:r>
    </w:p>
    <w:p w:rsidR="00B431C5" w:rsidRDefault="00B431C5" w:rsidP="00B431C5">
      <w:pPr>
        <w:pStyle w:val="NormalnyWeb"/>
        <w:shd w:val="clear" w:color="auto" w:fill="FFFFFF"/>
        <w:spacing w:after="0" w:line="276" w:lineRule="auto"/>
        <w:jc w:val="both"/>
        <w:rPr>
          <w:rFonts w:asciiTheme="minorHAnsi" w:hAnsiTheme="minorHAnsi" w:cstheme="minorHAnsi"/>
          <w:b/>
          <w:bCs/>
          <w:sz w:val="20"/>
          <w:szCs w:val="20"/>
        </w:rPr>
      </w:pPr>
    </w:p>
    <w:p w:rsidR="00B431C5" w:rsidRDefault="00B431C5" w:rsidP="00B431C5">
      <w:pPr>
        <w:pStyle w:val="NormalnyWeb"/>
        <w:shd w:val="clear" w:color="auto" w:fill="FFFFFF"/>
        <w:spacing w:after="0" w:line="276" w:lineRule="auto"/>
        <w:jc w:val="both"/>
        <w:rPr>
          <w:rFonts w:asciiTheme="minorHAnsi" w:hAnsiTheme="minorHAnsi" w:cstheme="minorHAnsi"/>
          <w:bCs/>
          <w:sz w:val="22"/>
          <w:szCs w:val="22"/>
        </w:rPr>
      </w:pPr>
      <w:r w:rsidRPr="00B431C5">
        <w:rPr>
          <w:rFonts w:asciiTheme="minorHAnsi" w:hAnsiTheme="minorHAnsi" w:cstheme="minorHAnsi"/>
          <w:bCs/>
          <w:sz w:val="22"/>
          <w:szCs w:val="22"/>
        </w:rPr>
        <w:t xml:space="preserve">Dyskonto </w:t>
      </w:r>
      <w:r>
        <w:rPr>
          <w:rFonts w:asciiTheme="minorHAnsi" w:hAnsiTheme="minorHAnsi" w:cstheme="minorHAnsi"/>
          <w:bCs/>
          <w:sz w:val="22"/>
          <w:szCs w:val="22"/>
        </w:rPr>
        <w:t>oraz sumę wekslową można obliczyć, stosując wzór:</w:t>
      </w:r>
    </w:p>
    <w:p w:rsidR="00B431C5" w:rsidRPr="00B431C5" w:rsidRDefault="00B431C5" w:rsidP="00B431C5">
      <w:pPr>
        <w:pStyle w:val="NormalnyWeb"/>
        <w:shd w:val="clear" w:color="auto" w:fill="FFFFFF"/>
        <w:spacing w:after="0" w:line="276" w:lineRule="auto"/>
        <w:jc w:val="both"/>
        <w:rPr>
          <w:rFonts w:asciiTheme="minorHAnsi" w:hAnsiTheme="minorHAnsi" w:cstheme="minorHAnsi"/>
          <w:bCs/>
          <w:sz w:val="22"/>
          <w:szCs w:val="22"/>
        </w:rPr>
      </w:pPr>
      <m:oMathPara>
        <m:oMath>
          <m:r>
            <w:rPr>
              <w:rFonts w:ascii="Cambria Math" w:hAnsi="Cambria Math" w:cstheme="minorHAnsi"/>
              <w:sz w:val="22"/>
              <w:szCs w:val="22"/>
            </w:rPr>
            <m:t>S=K+</m:t>
          </m:r>
          <m:f>
            <m:fPr>
              <m:ctrlPr>
                <w:rPr>
                  <w:rFonts w:ascii="Cambria Math" w:hAnsi="Cambria Math" w:cstheme="minorHAnsi"/>
                  <w:bCs/>
                  <w:i/>
                  <w:sz w:val="22"/>
                  <w:szCs w:val="22"/>
                </w:rPr>
              </m:ctrlPr>
            </m:fPr>
            <m:num>
              <m:r>
                <w:rPr>
                  <w:rFonts w:ascii="Cambria Math" w:hAnsi="Cambria Math" w:cstheme="minorHAnsi"/>
                  <w:sz w:val="22"/>
                  <w:szCs w:val="22"/>
                </w:rPr>
                <m:t>K x d x t</m:t>
              </m:r>
            </m:num>
            <m:den>
              <m:r>
                <w:rPr>
                  <w:rFonts w:ascii="Cambria Math" w:hAnsi="Cambria Math" w:cstheme="minorHAnsi"/>
                  <w:sz w:val="22"/>
                  <w:szCs w:val="22"/>
                </w:rPr>
                <m:t>100 x 365</m:t>
              </m:r>
            </m:den>
          </m:f>
        </m:oMath>
      </m:oMathPara>
    </w:p>
    <w:p w:rsidR="00B431C5" w:rsidRDefault="00B431C5" w:rsidP="00B431C5">
      <w:pPr>
        <w:pStyle w:val="NormalnyWeb"/>
        <w:shd w:val="clear" w:color="auto" w:fill="FFFFFF"/>
        <w:spacing w:after="0" w:line="276" w:lineRule="auto"/>
        <w:jc w:val="both"/>
        <w:rPr>
          <w:rFonts w:asciiTheme="minorHAnsi" w:hAnsiTheme="minorHAnsi" w:cstheme="minorHAnsi"/>
          <w:b/>
          <w:bCs/>
          <w:sz w:val="20"/>
          <w:szCs w:val="20"/>
        </w:rPr>
      </w:pPr>
    </w:p>
    <w:p w:rsidR="00B431C5" w:rsidRDefault="00B431C5" w:rsidP="00B431C5">
      <w:pPr>
        <w:pStyle w:val="NormalnyWeb"/>
        <w:shd w:val="clear" w:color="auto" w:fill="FFFFFF"/>
        <w:spacing w:after="0" w:line="276" w:lineRule="auto"/>
        <w:jc w:val="both"/>
        <w:rPr>
          <w:rFonts w:asciiTheme="minorHAnsi" w:hAnsiTheme="minorHAnsi" w:cstheme="minorHAnsi"/>
          <w:b/>
          <w:bCs/>
          <w:sz w:val="20"/>
          <w:szCs w:val="20"/>
        </w:rPr>
      </w:pPr>
    </w:p>
    <w:p w:rsidR="00B431C5" w:rsidRDefault="00B431C5" w:rsidP="00FE7E4A">
      <w:pPr>
        <w:pStyle w:val="NormalnyWeb"/>
        <w:shd w:val="clear" w:color="auto" w:fill="FFFFFF"/>
        <w:spacing w:after="0"/>
        <w:jc w:val="both"/>
        <w:rPr>
          <w:rFonts w:asciiTheme="minorHAnsi" w:hAnsiTheme="minorHAnsi" w:cstheme="minorHAnsi"/>
          <w:bCs/>
          <w:sz w:val="22"/>
          <w:szCs w:val="22"/>
        </w:rPr>
      </w:pPr>
      <w:r w:rsidRPr="00B431C5">
        <w:rPr>
          <w:rFonts w:asciiTheme="minorHAnsi" w:hAnsiTheme="minorHAnsi" w:cstheme="minorHAnsi"/>
          <w:bCs/>
          <w:sz w:val="22"/>
          <w:szCs w:val="22"/>
        </w:rPr>
        <w:t xml:space="preserve">S </w:t>
      </w:r>
      <w:r>
        <w:rPr>
          <w:rFonts w:asciiTheme="minorHAnsi" w:hAnsiTheme="minorHAnsi" w:cstheme="minorHAnsi"/>
          <w:bCs/>
          <w:sz w:val="22"/>
          <w:szCs w:val="22"/>
        </w:rPr>
        <w:t>–</w:t>
      </w:r>
      <w:r w:rsidRPr="00B431C5">
        <w:rPr>
          <w:rFonts w:asciiTheme="minorHAnsi" w:hAnsiTheme="minorHAnsi" w:cstheme="minorHAnsi"/>
          <w:bCs/>
          <w:sz w:val="22"/>
          <w:szCs w:val="22"/>
        </w:rPr>
        <w:t xml:space="preserve"> </w:t>
      </w:r>
      <w:r>
        <w:rPr>
          <w:rFonts w:asciiTheme="minorHAnsi" w:hAnsiTheme="minorHAnsi" w:cstheme="minorHAnsi"/>
          <w:bCs/>
          <w:sz w:val="22"/>
          <w:szCs w:val="22"/>
        </w:rPr>
        <w:t>suma wekslowa zawierająca dyskonto,</w:t>
      </w:r>
    </w:p>
    <w:p w:rsidR="00B431C5" w:rsidRDefault="00B431C5" w:rsidP="00FE7E4A">
      <w:pPr>
        <w:pStyle w:val="NormalnyWeb"/>
        <w:shd w:val="clear" w:color="auto" w:fill="FFFFFF"/>
        <w:spacing w:after="0"/>
        <w:jc w:val="both"/>
        <w:rPr>
          <w:rFonts w:asciiTheme="minorHAnsi" w:hAnsiTheme="minorHAnsi" w:cstheme="minorHAnsi"/>
          <w:bCs/>
          <w:sz w:val="22"/>
          <w:szCs w:val="22"/>
        </w:rPr>
      </w:pPr>
      <w:r>
        <w:rPr>
          <w:rFonts w:asciiTheme="minorHAnsi" w:hAnsiTheme="minorHAnsi" w:cstheme="minorHAnsi"/>
          <w:bCs/>
          <w:sz w:val="22"/>
          <w:szCs w:val="22"/>
        </w:rPr>
        <w:t>K – kwota należności (zobowiązania),</w:t>
      </w:r>
    </w:p>
    <w:p w:rsidR="00B431C5" w:rsidRDefault="00B431C5" w:rsidP="00FE7E4A">
      <w:pPr>
        <w:pStyle w:val="NormalnyWeb"/>
        <w:shd w:val="clear" w:color="auto" w:fill="FFFFFF"/>
        <w:spacing w:after="0"/>
        <w:jc w:val="both"/>
        <w:rPr>
          <w:rFonts w:asciiTheme="minorHAnsi" w:hAnsiTheme="minorHAnsi" w:cstheme="minorHAnsi"/>
          <w:bCs/>
          <w:sz w:val="22"/>
          <w:szCs w:val="22"/>
        </w:rPr>
      </w:pPr>
      <w:r>
        <w:rPr>
          <w:rFonts w:asciiTheme="minorHAnsi" w:hAnsiTheme="minorHAnsi" w:cstheme="minorHAnsi"/>
          <w:bCs/>
          <w:sz w:val="22"/>
          <w:szCs w:val="22"/>
        </w:rPr>
        <w:t>d – roczna stopa odsetkowa (dyskontowa),</w:t>
      </w:r>
    </w:p>
    <w:p w:rsidR="00B431C5" w:rsidRDefault="00B431C5" w:rsidP="00FE7E4A">
      <w:pPr>
        <w:pStyle w:val="NormalnyWeb"/>
        <w:shd w:val="clear" w:color="auto" w:fill="FFFFFF"/>
        <w:spacing w:after="0"/>
        <w:jc w:val="both"/>
        <w:rPr>
          <w:rFonts w:asciiTheme="minorHAnsi" w:hAnsiTheme="minorHAnsi" w:cstheme="minorHAnsi"/>
          <w:bCs/>
          <w:sz w:val="22"/>
          <w:szCs w:val="22"/>
        </w:rPr>
      </w:pPr>
      <w:r>
        <w:rPr>
          <w:rFonts w:asciiTheme="minorHAnsi" w:hAnsiTheme="minorHAnsi" w:cstheme="minorHAnsi"/>
          <w:bCs/>
          <w:sz w:val="22"/>
          <w:szCs w:val="22"/>
        </w:rPr>
        <w:t xml:space="preserve">t – liczba dni od wystawienia </w:t>
      </w:r>
      <w:r w:rsidR="00FE7E4A">
        <w:rPr>
          <w:rFonts w:asciiTheme="minorHAnsi" w:hAnsiTheme="minorHAnsi" w:cstheme="minorHAnsi"/>
          <w:bCs/>
          <w:sz w:val="22"/>
          <w:szCs w:val="22"/>
        </w:rPr>
        <w:t>weksla do dnia zapłaty (nie wlicza się dnia wystawienia).</w:t>
      </w:r>
    </w:p>
    <w:p w:rsidR="00FE7E4A" w:rsidRPr="00B431C5" w:rsidRDefault="00FE7E4A" w:rsidP="00B431C5">
      <w:pPr>
        <w:pStyle w:val="NormalnyWeb"/>
        <w:shd w:val="clear" w:color="auto" w:fill="FFFFFF"/>
        <w:spacing w:after="0" w:line="276" w:lineRule="auto"/>
        <w:jc w:val="both"/>
        <w:rPr>
          <w:rFonts w:asciiTheme="minorHAnsi" w:hAnsiTheme="minorHAnsi" w:cstheme="minorHAnsi"/>
          <w:bCs/>
          <w:sz w:val="22"/>
          <w:szCs w:val="22"/>
        </w:rPr>
      </w:pPr>
    </w:p>
    <w:p w:rsidR="00B431C5" w:rsidRPr="00B431C5" w:rsidRDefault="00B431C5" w:rsidP="00B431C5">
      <w:pPr>
        <w:pStyle w:val="NormalnyWeb"/>
        <w:shd w:val="clear" w:color="auto" w:fill="FFFFFF"/>
        <w:spacing w:after="0" w:line="276" w:lineRule="auto"/>
        <w:jc w:val="both"/>
        <w:rPr>
          <w:rFonts w:asciiTheme="minorHAnsi" w:hAnsiTheme="minorHAnsi" w:cstheme="minorHAnsi"/>
          <w:sz w:val="20"/>
          <w:szCs w:val="20"/>
        </w:rPr>
      </w:pPr>
      <w:r w:rsidRPr="00B431C5">
        <w:rPr>
          <w:rFonts w:asciiTheme="minorHAnsi" w:hAnsiTheme="minorHAnsi" w:cstheme="minorHAnsi"/>
          <w:b/>
          <w:bCs/>
          <w:sz w:val="20"/>
          <w:szCs w:val="20"/>
        </w:rPr>
        <w:t>Dyskonto weksla</w:t>
      </w:r>
      <w:r w:rsidRPr="00B431C5">
        <w:rPr>
          <w:rFonts w:asciiTheme="minorHAnsi" w:hAnsiTheme="minorHAnsi" w:cstheme="minorHAnsi"/>
          <w:sz w:val="20"/>
          <w:szCs w:val="20"/>
        </w:rPr>
        <w:t xml:space="preserve"> – jest to zakup </w:t>
      </w:r>
      <w:hyperlink r:id="rId8" w:tooltip="Weksel" w:history="1">
        <w:r w:rsidRPr="00B431C5">
          <w:rPr>
            <w:rStyle w:val="Hipercze"/>
            <w:rFonts w:asciiTheme="minorHAnsi" w:hAnsiTheme="minorHAnsi" w:cstheme="minorHAnsi"/>
            <w:color w:val="auto"/>
            <w:sz w:val="20"/>
            <w:szCs w:val="20"/>
            <w:u w:val="none"/>
          </w:rPr>
          <w:t>weksla</w:t>
        </w:r>
      </w:hyperlink>
      <w:r w:rsidRPr="00B431C5">
        <w:rPr>
          <w:rFonts w:asciiTheme="minorHAnsi" w:hAnsiTheme="minorHAnsi" w:cstheme="minorHAnsi"/>
          <w:sz w:val="20"/>
          <w:szCs w:val="20"/>
        </w:rPr>
        <w:t xml:space="preserve"> przed terminem jego p</w:t>
      </w:r>
      <w:r>
        <w:rPr>
          <w:rFonts w:asciiTheme="minorHAnsi" w:hAnsiTheme="minorHAnsi" w:cstheme="minorHAnsi"/>
          <w:sz w:val="20"/>
          <w:szCs w:val="20"/>
        </w:rPr>
        <w:t>łatności po cenie pomniejszonej</w:t>
      </w:r>
      <w:r w:rsidRPr="00B431C5">
        <w:rPr>
          <w:rFonts w:asciiTheme="minorHAnsi" w:hAnsiTheme="minorHAnsi" w:cstheme="minorHAnsi"/>
          <w:sz w:val="20"/>
          <w:szCs w:val="20"/>
        </w:rPr>
        <w:t xml:space="preserve">  </w:t>
      </w:r>
      <w:r w:rsidR="007418F1">
        <w:rPr>
          <w:rFonts w:asciiTheme="minorHAnsi" w:hAnsiTheme="minorHAnsi" w:cstheme="minorHAnsi"/>
          <w:sz w:val="20"/>
          <w:szCs w:val="20"/>
        </w:rPr>
        <w:t xml:space="preserve">                                                  </w:t>
      </w:r>
      <w:r w:rsidRPr="00B431C5">
        <w:rPr>
          <w:rFonts w:asciiTheme="minorHAnsi" w:hAnsiTheme="minorHAnsi" w:cstheme="minorHAnsi"/>
          <w:sz w:val="20"/>
          <w:szCs w:val="20"/>
        </w:rPr>
        <w:t xml:space="preserve">o </w:t>
      </w:r>
      <w:r w:rsidR="007418F1">
        <w:rPr>
          <w:rFonts w:asciiTheme="minorHAnsi" w:hAnsiTheme="minorHAnsi" w:cstheme="minorHAnsi"/>
          <w:sz w:val="20"/>
          <w:szCs w:val="20"/>
        </w:rPr>
        <w:t>oprocentowanie dyskontowe</w:t>
      </w:r>
      <w:r w:rsidRPr="00B431C5">
        <w:rPr>
          <w:rFonts w:asciiTheme="minorHAnsi" w:hAnsiTheme="minorHAnsi" w:cstheme="minorHAnsi"/>
          <w:sz w:val="20"/>
          <w:szCs w:val="20"/>
        </w:rPr>
        <w:t xml:space="preserve">. Dyskonta weksla dokonuje dyskonter. Jeżeli bank przyjmie weksel do </w:t>
      </w:r>
      <w:hyperlink r:id="rId9" w:tooltip="Dyskonto" w:history="1">
        <w:r w:rsidRPr="00B431C5">
          <w:rPr>
            <w:rStyle w:val="Hipercze"/>
            <w:rFonts w:asciiTheme="minorHAnsi" w:hAnsiTheme="minorHAnsi" w:cstheme="minorHAnsi"/>
            <w:color w:val="auto"/>
            <w:sz w:val="20"/>
            <w:szCs w:val="20"/>
            <w:u w:val="none"/>
          </w:rPr>
          <w:t>dyskonta</w:t>
        </w:r>
      </w:hyperlink>
      <w:r w:rsidRPr="00B431C5">
        <w:rPr>
          <w:rFonts w:asciiTheme="minorHAnsi" w:hAnsiTheme="minorHAnsi" w:cstheme="minorHAnsi"/>
          <w:sz w:val="20"/>
          <w:szCs w:val="20"/>
        </w:rPr>
        <w:t xml:space="preserve">, to wysokość potrącanej kwoty (czyli dyskonto weksla) zależy od: </w:t>
      </w:r>
    </w:p>
    <w:p w:rsidR="00B431C5" w:rsidRPr="00B431C5" w:rsidRDefault="00B431C5" w:rsidP="00B431C5">
      <w:pPr>
        <w:numPr>
          <w:ilvl w:val="0"/>
          <w:numId w:val="9"/>
        </w:numPr>
        <w:shd w:val="clear" w:color="auto" w:fill="FFFFFF"/>
        <w:spacing w:after="0" w:line="276" w:lineRule="auto"/>
        <w:rPr>
          <w:rFonts w:cstheme="minorHAnsi"/>
          <w:sz w:val="20"/>
          <w:szCs w:val="20"/>
        </w:rPr>
      </w:pPr>
      <w:r w:rsidRPr="00B431C5">
        <w:rPr>
          <w:rFonts w:cstheme="minorHAnsi"/>
          <w:sz w:val="20"/>
          <w:szCs w:val="20"/>
        </w:rPr>
        <w:t xml:space="preserve">stopy dyskontowej stosowanej przez bank, </w:t>
      </w:r>
    </w:p>
    <w:p w:rsidR="00B431C5" w:rsidRPr="00B431C5" w:rsidRDefault="00B431C5" w:rsidP="00B431C5">
      <w:pPr>
        <w:numPr>
          <w:ilvl w:val="0"/>
          <w:numId w:val="9"/>
        </w:numPr>
        <w:shd w:val="clear" w:color="auto" w:fill="FFFFFF"/>
        <w:spacing w:after="0" w:line="276" w:lineRule="auto"/>
        <w:rPr>
          <w:rFonts w:cstheme="minorHAnsi"/>
          <w:sz w:val="20"/>
          <w:szCs w:val="20"/>
        </w:rPr>
      </w:pPr>
      <w:r w:rsidRPr="00B431C5">
        <w:rPr>
          <w:rFonts w:cstheme="minorHAnsi"/>
          <w:sz w:val="20"/>
          <w:szCs w:val="20"/>
        </w:rPr>
        <w:t xml:space="preserve">liczby dni od daty przyjęcia weksla do daty jego płatności, </w:t>
      </w:r>
    </w:p>
    <w:p w:rsidR="00B431C5" w:rsidRPr="00B431C5" w:rsidRDefault="00B431C5" w:rsidP="00B431C5">
      <w:pPr>
        <w:numPr>
          <w:ilvl w:val="0"/>
          <w:numId w:val="9"/>
        </w:numPr>
        <w:shd w:val="clear" w:color="auto" w:fill="FFFFFF"/>
        <w:spacing w:after="0" w:line="276" w:lineRule="auto"/>
        <w:rPr>
          <w:rFonts w:cstheme="minorHAnsi"/>
          <w:sz w:val="20"/>
          <w:szCs w:val="20"/>
        </w:rPr>
      </w:pPr>
      <w:r w:rsidRPr="00B431C5">
        <w:rPr>
          <w:rFonts w:cstheme="minorHAnsi"/>
          <w:sz w:val="20"/>
          <w:szCs w:val="20"/>
        </w:rPr>
        <w:t xml:space="preserve">wartości nominalnej weksla. </w:t>
      </w:r>
    </w:p>
    <w:p w:rsidR="00B431C5" w:rsidRPr="00B431C5" w:rsidRDefault="00B431C5" w:rsidP="00B431C5">
      <w:pPr>
        <w:pStyle w:val="NormalnyWeb"/>
        <w:shd w:val="clear" w:color="auto" w:fill="FFFFFF"/>
        <w:spacing w:after="0" w:line="276" w:lineRule="auto"/>
        <w:jc w:val="both"/>
        <w:rPr>
          <w:rFonts w:asciiTheme="minorHAnsi" w:hAnsiTheme="minorHAnsi" w:cstheme="minorHAnsi"/>
          <w:sz w:val="20"/>
          <w:szCs w:val="20"/>
        </w:rPr>
      </w:pPr>
      <w:r w:rsidRPr="00B431C5">
        <w:rPr>
          <w:rFonts w:asciiTheme="minorHAnsi" w:hAnsiTheme="minorHAnsi" w:cstheme="minorHAnsi"/>
          <w:sz w:val="20"/>
          <w:szCs w:val="20"/>
        </w:rPr>
        <w:t xml:space="preserve">Wysokość stopy dyskontowej banku wynika z oceny wiarygodności płatników wekslowych. </w:t>
      </w:r>
    </w:p>
    <w:p w:rsidR="00B431C5" w:rsidRPr="00303E6A" w:rsidRDefault="00B431C5" w:rsidP="00303E6A">
      <w:pPr>
        <w:pStyle w:val="NormalnyWeb"/>
        <w:shd w:val="clear" w:color="auto" w:fill="FFFFFF"/>
        <w:spacing w:after="0" w:line="276" w:lineRule="auto"/>
        <w:jc w:val="both"/>
        <w:rPr>
          <w:rFonts w:asciiTheme="minorHAnsi" w:hAnsiTheme="minorHAnsi" w:cstheme="minorHAnsi"/>
          <w:sz w:val="20"/>
          <w:szCs w:val="20"/>
        </w:rPr>
      </w:pPr>
      <w:r w:rsidRPr="00B431C5">
        <w:rPr>
          <w:rFonts w:asciiTheme="minorHAnsi" w:hAnsiTheme="minorHAnsi" w:cstheme="minorHAnsi"/>
          <w:sz w:val="20"/>
          <w:szCs w:val="20"/>
        </w:rPr>
        <w:t xml:space="preserve">W przypadku podjęcia przez bank decyzji o przyjęciu weksla do dyskonta podawcy zostaje udzielony </w:t>
      </w:r>
      <w:hyperlink r:id="rId10" w:tooltip="kredyt" w:history="1">
        <w:r w:rsidRPr="00B431C5">
          <w:rPr>
            <w:rStyle w:val="Hipercze"/>
            <w:rFonts w:asciiTheme="minorHAnsi" w:hAnsiTheme="minorHAnsi" w:cstheme="minorHAnsi"/>
            <w:color w:val="auto"/>
            <w:sz w:val="20"/>
            <w:szCs w:val="20"/>
            <w:u w:val="none"/>
          </w:rPr>
          <w:t>kredyt</w:t>
        </w:r>
      </w:hyperlink>
      <w:r w:rsidRPr="00B431C5">
        <w:rPr>
          <w:rFonts w:asciiTheme="minorHAnsi" w:hAnsiTheme="minorHAnsi" w:cstheme="minorHAnsi"/>
          <w:sz w:val="20"/>
          <w:szCs w:val="20"/>
        </w:rPr>
        <w:t xml:space="preserve"> dyskontowy. </w:t>
      </w:r>
    </w:p>
    <w:p w:rsidR="00B431C5" w:rsidRPr="00303E6A" w:rsidRDefault="00B431C5" w:rsidP="00B431C5">
      <w:pPr>
        <w:jc w:val="both"/>
        <w:rPr>
          <w:color w:val="333333"/>
          <w:sz w:val="20"/>
          <w:szCs w:val="20"/>
        </w:rPr>
      </w:pPr>
      <w:r w:rsidRPr="00303E6A">
        <w:rPr>
          <w:color w:val="333333"/>
          <w:sz w:val="20"/>
          <w:szCs w:val="20"/>
        </w:rPr>
        <w:t>Indos weksla polega na przekazaniu weksla obcego innej jednostce, z umieszczeniem na wekslu podpisu, co powoduje zagrożenie roszczeniem regresowym w razie odmowy zapłaty przez wystawcę. Podobnie dyskontowanie weksla, czyli jego "sprzedaż" za cenę odpowiednio niższą, lecz płatną od ręki, powodować może identyczne zobowiązania warunkowe.</w:t>
      </w:r>
    </w:p>
    <w:p w:rsidR="007418F1" w:rsidRPr="007418F1" w:rsidRDefault="007418F1" w:rsidP="00B431C5">
      <w:pPr>
        <w:jc w:val="both"/>
      </w:pPr>
      <w:r>
        <w:rPr>
          <w:color w:val="333333"/>
        </w:rPr>
        <w:t>Weksle obce indosowane (przekazane innym kontrahentom) i zdyskontowane</w:t>
      </w:r>
      <w:r w:rsidR="00303E6A">
        <w:rPr>
          <w:color w:val="333333"/>
        </w:rPr>
        <w:t xml:space="preserve"> (przekazane bankowi                 w zamian za gotówkę z potraceniem oprocentowania dyskontowego) powinny być ujęte na koncie pozabilansowym „Weksle obce indosowane” lub „Weksle obce dyskontowane” ze względu na ciążącą na jednostce odpowiedzialność regresową wobec posiadacza weksla na wypadek braku wykupu weksla przez głównego dłużnika.</w:t>
      </w:r>
    </w:p>
    <w:p w:rsidR="00667C10" w:rsidRDefault="00492A30" w:rsidP="00667C10">
      <w:pPr>
        <w:jc w:val="both"/>
      </w:pPr>
      <w:r>
        <w:t>Prawo wekslowe rozróżnia następujące rodzaje weksli:</w:t>
      </w:r>
    </w:p>
    <w:p w:rsidR="00492A30" w:rsidRDefault="00492A30" w:rsidP="00492A30">
      <w:pPr>
        <w:pStyle w:val="Akapitzlist"/>
        <w:numPr>
          <w:ilvl w:val="0"/>
          <w:numId w:val="10"/>
        </w:numPr>
        <w:jc w:val="both"/>
      </w:pPr>
      <w:r>
        <w:t>weksel własny – wystawca takiego weksla (trasant) bezwarunkowo zobowiązuje się zapłacić określoną na wekslu kwotę osobie wskazanej na wekslu (remitentowi) w określonym czasie        i miejscu,</w:t>
      </w:r>
    </w:p>
    <w:p w:rsidR="001B32F3" w:rsidRDefault="001B32F3" w:rsidP="001B32F3">
      <w:pPr>
        <w:spacing w:after="0"/>
        <w:jc w:val="both"/>
      </w:pPr>
    </w:p>
    <w:p w:rsidR="001B32F3" w:rsidRPr="001B32F3" w:rsidRDefault="001B32F3" w:rsidP="001B32F3">
      <w:pPr>
        <w:spacing w:after="0"/>
        <w:jc w:val="center"/>
        <w:rPr>
          <w:sz w:val="20"/>
          <w:szCs w:val="20"/>
        </w:rPr>
      </w:pPr>
      <w:r w:rsidRPr="001B32F3">
        <w:rPr>
          <w:sz w:val="20"/>
          <w:szCs w:val="20"/>
        </w:rPr>
        <w:t>TRASANT ----- wystawia weksel i płaci sumę wekslową ------- REMITENTOWI</w:t>
      </w:r>
    </w:p>
    <w:p w:rsidR="001B32F3" w:rsidRDefault="001B32F3" w:rsidP="001B32F3">
      <w:pPr>
        <w:spacing w:after="0"/>
        <w:jc w:val="both"/>
      </w:pPr>
    </w:p>
    <w:p w:rsidR="00492A30" w:rsidRDefault="00492A30" w:rsidP="00492A30">
      <w:pPr>
        <w:pStyle w:val="Akapitzlist"/>
        <w:numPr>
          <w:ilvl w:val="0"/>
          <w:numId w:val="10"/>
        </w:numPr>
        <w:jc w:val="both"/>
      </w:pPr>
      <w:r>
        <w:t>weksel trasowany – wystawca takiego weksla (trasant) poleca osobie trzeciej (trasatowi) bezwarunkowo zapłacić kwotę wekslową na rzecz osoby wskazanej na wekslu (remitentowi) w określonym miejscu i czasie,</w:t>
      </w:r>
    </w:p>
    <w:p w:rsidR="001B32F3" w:rsidRDefault="001B32F3" w:rsidP="001B32F3">
      <w:pPr>
        <w:spacing w:after="0"/>
        <w:jc w:val="both"/>
      </w:pPr>
    </w:p>
    <w:p w:rsidR="001B32F3" w:rsidRPr="001B32F3" w:rsidRDefault="001B32F3" w:rsidP="001B32F3">
      <w:pPr>
        <w:spacing w:after="0"/>
        <w:jc w:val="center"/>
        <w:rPr>
          <w:sz w:val="20"/>
          <w:szCs w:val="20"/>
        </w:rPr>
      </w:pPr>
      <w:r w:rsidRPr="001B32F3">
        <w:rPr>
          <w:sz w:val="20"/>
          <w:szCs w:val="20"/>
        </w:rPr>
        <w:t>TRASANT -----</w:t>
      </w:r>
      <w:r>
        <w:rPr>
          <w:sz w:val="20"/>
          <w:szCs w:val="20"/>
        </w:rPr>
        <w:t xml:space="preserve"> </w:t>
      </w:r>
      <w:r w:rsidRPr="001B32F3">
        <w:rPr>
          <w:sz w:val="20"/>
          <w:szCs w:val="20"/>
        </w:rPr>
        <w:t>wystawia weksel i poleca zapłacić ----- TRASATOWI ------ sumę wekslową ----- REMITENTOWI</w:t>
      </w:r>
    </w:p>
    <w:p w:rsidR="001B32F3" w:rsidRDefault="001B32F3" w:rsidP="001B32F3">
      <w:pPr>
        <w:spacing w:after="0"/>
        <w:jc w:val="both"/>
      </w:pPr>
    </w:p>
    <w:p w:rsidR="005B1BB0" w:rsidRDefault="005B1BB0" w:rsidP="00492A30">
      <w:pPr>
        <w:pStyle w:val="Akapitzlist"/>
        <w:numPr>
          <w:ilvl w:val="0"/>
          <w:numId w:val="10"/>
        </w:numPr>
        <w:jc w:val="both"/>
      </w:pPr>
      <w:r>
        <w:t xml:space="preserve">weksel in blanco – to niewypełniony weksel lub celowo wypełniony z pominięciem pewnych danych, np. kwoty, daty. Podpisany weksel in blanco zawierający upoważnienie dla odbiorcy do jego wypełnienia może stanowić zabezpieczenie spłaty zaciągniętej pożyczki lub zaciągniętego kredytu w banku. </w:t>
      </w:r>
    </w:p>
    <w:p w:rsidR="00667C10" w:rsidRDefault="00E70921" w:rsidP="00667C10">
      <w:pPr>
        <w:jc w:val="both"/>
      </w:pPr>
      <w:r>
        <w:t>Do ewidencji weksli obcych, otrzymanych od kontrahentów w celu spłaty należności, służą konta:</w:t>
      </w:r>
    </w:p>
    <w:p w:rsidR="00E70921" w:rsidRDefault="00E70921" w:rsidP="00E70921">
      <w:pPr>
        <w:pStyle w:val="Akapitzlist"/>
        <w:numPr>
          <w:ilvl w:val="0"/>
          <w:numId w:val="12"/>
        </w:numPr>
        <w:jc w:val="both"/>
      </w:pPr>
      <w:r>
        <w:t>„Inne środki pieniężne” w przypadku weksli płatnych w terminie do 3 miesięcy,</w:t>
      </w:r>
    </w:p>
    <w:p w:rsidR="00E70921" w:rsidRDefault="00E70921" w:rsidP="00E70921">
      <w:pPr>
        <w:pStyle w:val="Akapitzlist"/>
        <w:numPr>
          <w:ilvl w:val="0"/>
          <w:numId w:val="12"/>
        </w:numPr>
        <w:jc w:val="both"/>
      </w:pPr>
      <w:r>
        <w:t>„Krótkoterminowe aktywa finansowe” w przypadku weksli płatnych w terminie trzech miesięcy do roku.</w:t>
      </w:r>
    </w:p>
    <w:p w:rsidR="00826EDE" w:rsidRPr="00826EDE" w:rsidRDefault="00826EDE" w:rsidP="00667C10">
      <w:pPr>
        <w:jc w:val="both"/>
        <w:rPr>
          <w:sz w:val="32"/>
          <w:szCs w:val="32"/>
        </w:rPr>
      </w:pPr>
      <w:r w:rsidRPr="00826EDE">
        <w:rPr>
          <w:sz w:val="32"/>
          <w:szCs w:val="32"/>
        </w:rPr>
        <w:t>Czeki własne i obce</w:t>
      </w:r>
    </w:p>
    <w:p w:rsidR="00826EDE" w:rsidRDefault="00826EDE" w:rsidP="00667C10">
      <w:pPr>
        <w:jc w:val="both"/>
      </w:pPr>
      <w:r>
        <w:t>W zależności od tego, kto wystawia czek, rozróżniamy czeki:</w:t>
      </w:r>
    </w:p>
    <w:p w:rsidR="00826EDE" w:rsidRDefault="00826EDE" w:rsidP="00826EDE">
      <w:pPr>
        <w:pStyle w:val="Akapitzlist"/>
        <w:numPr>
          <w:ilvl w:val="0"/>
          <w:numId w:val="11"/>
        </w:numPr>
        <w:jc w:val="both"/>
      </w:pPr>
      <w:r>
        <w:t>własne – wystawiane przez jednostkę w celu spłaty zobowiązań,</w:t>
      </w:r>
    </w:p>
    <w:p w:rsidR="00826EDE" w:rsidRDefault="00826EDE" w:rsidP="00826EDE">
      <w:pPr>
        <w:pStyle w:val="Akapitzlist"/>
        <w:numPr>
          <w:ilvl w:val="0"/>
          <w:numId w:val="11"/>
        </w:numPr>
        <w:jc w:val="both"/>
      </w:pPr>
      <w:r>
        <w:t>obce – otrzymane przez jednostkę w celu pokrycia należności przez odbiorcę.</w:t>
      </w:r>
    </w:p>
    <w:p w:rsidR="00826EDE" w:rsidRDefault="00826EDE" w:rsidP="00826EDE">
      <w:pPr>
        <w:jc w:val="both"/>
      </w:pPr>
      <w:r>
        <w:t xml:space="preserve">Czeki ujmowane są na koncie „Inne środki pieniężne”. Konto to służy również do ewidencji weksli obcych płatnych w ciągu 3  miesięcy od daty wystawienia. </w:t>
      </w:r>
    </w:p>
    <w:p w:rsidR="00E70921" w:rsidRPr="007B448B" w:rsidRDefault="00E70921" w:rsidP="00E70921">
      <w:pPr>
        <w:jc w:val="both"/>
        <w:rPr>
          <w:i/>
        </w:rPr>
      </w:pPr>
      <w:r w:rsidRPr="007B448B">
        <w:rPr>
          <w:i/>
        </w:rPr>
        <w:t>Ewidencja czeków, weksli obcych oraz środków pieniężnych w drodze dokonywana jest na koncie „Inne środki pieniężne”.</w:t>
      </w:r>
    </w:p>
    <w:p w:rsidR="00826EDE" w:rsidRDefault="00826EDE" w:rsidP="00826EDE">
      <w:pPr>
        <w:jc w:val="both"/>
      </w:pPr>
    </w:p>
    <w:p w:rsidR="00826EDE" w:rsidRPr="00826EDE" w:rsidRDefault="00826EDE" w:rsidP="00826EDE">
      <w:pPr>
        <w:jc w:val="both"/>
        <w:rPr>
          <w:sz w:val="32"/>
          <w:szCs w:val="32"/>
        </w:rPr>
      </w:pPr>
      <w:r w:rsidRPr="00826EDE">
        <w:rPr>
          <w:sz w:val="32"/>
          <w:szCs w:val="32"/>
        </w:rPr>
        <w:t>Akredytywa</w:t>
      </w:r>
    </w:p>
    <w:p w:rsidR="00826EDE" w:rsidRDefault="00826EDE" w:rsidP="00826EDE">
      <w:pPr>
        <w:jc w:val="both"/>
      </w:pPr>
      <w:r>
        <w:t xml:space="preserve">Do ewidencji środków pieniężnych wydzielonych z rachunku bieżącego w celu zabezpieczenia sfinansowania określonych transakcji służy konto bilansowe aktywów pieniężnych „Akredytywy”. Konto to może wykazywać tylko saldo </w:t>
      </w:r>
      <w:proofErr w:type="spellStart"/>
      <w:r>
        <w:t>Dt</w:t>
      </w:r>
      <w:proofErr w:type="spellEnd"/>
      <w:r>
        <w:t>, oznaczające stan środków pieniężnych w banku z tytułu otwarcia akredytywy bankowej.</w:t>
      </w:r>
    </w:p>
    <w:p w:rsidR="00A9228D" w:rsidRDefault="00A9228D" w:rsidP="00826EDE">
      <w:pPr>
        <w:jc w:val="both"/>
      </w:pPr>
      <w:bookmarkStart w:id="0" w:name="_GoBack"/>
      <w:bookmarkEnd w:id="0"/>
    </w:p>
    <w:p w:rsidR="00A9228D" w:rsidRPr="00B1203F" w:rsidRDefault="00A9228D" w:rsidP="00826EDE">
      <w:pPr>
        <w:jc w:val="both"/>
        <w:rPr>
          <w:sz w:val="32"/>
          <w:szCs w:val="32"/>
        </w:rPr>
      </w:pPr>
      <w:r w:rsidRPr="00B1203F">
        <w:rPr>
          <w:sz w:val="32"/>
          <w:szCs w:val="32"/>
        </w:rPr>
        <w:t>Środki pieniężne w walutach obcych</w:t>
      </w:r>
    </w:p>
    <w:p w:rsidR="00570FC5" w:rsidRDefault="00570FC5" w:rsidP="00826EDE">
      <w:pPr>
        <w:jc w:val="both"/>
      </w:pPr>
      <w:r>
        <w:t>Udokumentowanie operacji w walutach obcych nie różni się od ich udokumentowania w walucie polskiej. Występuje tu jedynie dodatkowa konieczność przeliczenia kwot wyrażonych w walutach obcych – przed ujęciem w księgach rachunkowych – na ró</w:t>
      </w:r>
      <w:r w:rsidR="00B1203F">
        <w:t xml:space="preserve">wnowartość w walucie polskiej. </w:t>
      </w:r>
    </w:p>
    <w:p w:rsidR="00570FC5" w:rsidRDefault="00570FC5" w:rsidP="00826EDE">
      <w:pPr>
        <w:jc w:val="both"/>
      </w:pPr>
      <w:r>
        <w:t>Środkami pieniężnymi na rachunkach walutowych (dewizowych) dysponują głownie jednostki realizujące transakcje sprzedaży w walutach obcych i dokonujące płatności zobowiązań w tych walutach.</w:t>
      </w:r>
    </w:p>
    <w:p w:rsidR="00570FC5" w:rsidRDefault="00570FC5" w:rsidP="00826EDE">
      <w:pPr>
        <w:jc w:val="both"/>
      </w:pPr>
      <w:r w:rsidRPr="00B1203F">
        <w:rPr>
          <w:u w:val="single"/>
        </w:rPr>
        <w:t>Wpływy środków w walucie obcej</w:t>
      </w:r>
      <w:r>
        <w:t xml:space="preserve"> na rachunek walutowy </w:t>
      </w:r>
      <w:r w:rsidR="00B1203F">
        <w:t xml:space="preserve">przelicza się na równowartość w walucie polskiej – </w:t>
      </w:r>
      <w:r w:rsidR="008507B4">
        <w:t xml:space="preserve">w </w:t>
      </w:r>
      <w:r w:rsidR="00B1203F">
        <w:t>zależności od źródła pozyskania środków po kursie</w:t>
      </w:r>
      <w:r w:rsidR="00755900">
        <w:t>:</w:t>
      </w:r>
    </w:p>
    <w:p w:rsidR="00755900" w:rsidRDefault="00755900" w:rsidP="00755900">
      <w:pPr>
        <w:pStyle w:val="Akapitzlist"/>
        <w:numPr>
          <w:ilvl w:val="0"/>
          <w:numId w:val="13"/>
        </w:numPr>
        <w:jc w:val="both"/>
      </w:pPr>
      <w:r>
        <w:t>faktycznie zastosowanym (sprzedaży) – jeżeli jednostka nabyła walutę obcą w banku płacąc środkami w walucie polskiej (tzw. przewalutowania),</w:t>
      </w:r>
    </w:p>
    <w:p w:rsidR="00755900" w:rsidRDefault="00755900" w:rsidP="00755900">
      <w:pPr>
        <w:pStyle w:val="Akapitzlist"/>
        <w:numPr>
          <w:ilvl w:val="0"/>
          <w:numId w:val="13"/>
        </w:numPr>
        <w:jc w:val="both"/>
      </w:pPr>
      <w:r>
        <w:lastRenderedPageBreak/>
        <w:t>historycznym – jeżeli środki były w posiadaniu jednostki, np. w przypadku wpłaty z kasy walutowej, przelewu z innego rachunku walutowego jednostki,</w:t>
      </w:r>
    </w:p>
    <w:p w:rsidR="00755900" w:rsidRDefault="00755900" w:rsidP="00755900">
      <w:pPr>
        <w:pStyle w:val="Akapitzlist"/>
        <w:numPr>
          <w:ilvl w:val="0"/>
          <w:numId w:val="13"/>
        </w:numPr>
        <w:jc w:val="both"/>
      </w:pPr>
      <w:r>
        <w:t>średnim NBP z dnia poprzedzającego dzień wpływu – w pozostałych przypadkach, np. zapłaty należności w walucie obcej, naliczenia przez bank odsetek od środków zgromadzonych na tym rachunku.</w:t>
      </w:r>
    </w:p>
    <w:p w:rsidR="0022267C" w:rsidRDefault="0022267C" w:rsidP="0022267C">
      <w:pPr>
        <w:jc w:val="both"/>
      </w:pPr>
      <w:r>
        <w:t xml:space="preserve">Z kolei </w:t>
      </w:r>
      <w:r w:rsidRPr="0022267C">
        <w:rPr>
          <w:u w:val="single"/>
        </w:rPr>
        <w:t>rozchody środków z rachunku walutowego</w:t>
      </w:r>
      <w:r>
        <w:t xml:space="preserve"> można wyceniać wg dwóch metod:</w:t>
      </w:r>
    </w:p>
    <w:p w:rsidR="0022267C" w:rsidRDefault="0022267C" w:rsidP="0022267C">
      <w:pPr>
        <w:pStyle w:val="Akapitzlist"/>
        <w:numPr>
          <w:ilvl w:val="0"/>
          <w:numId w:val="14"/>
        </w:numPr>
        <w:jc w:val="both"/>
      </w:pPr>
      <w:r>
        <w:t>metoda I – po kursie historycznym, tj. po jakim środki wpłynęły na ten rachunek, określając jednocześnie kolejność ich rozchodu (np. FIFO),</w:t>
      </w:r>
    </w:p>
    <w:p w:rsidR="0022267C" w:rsidRDefault="0022267C" w:rsidP="0022267C">
      <w:pPr>
        <w:pStyle w:val="Akapitzlist"/>
        <w:numPr>
          <w:ilvl w:val="0"/>
          <w:numId w:val="14"/>
        </w:numPr>
        <w:jc w:val="both"/>
      </w:pPr>
      <w:r>
        <w:t>metoda II – po kursie bieżącym, tj. średnim NBP z dnia poprzedzającego rozchód lub po kursie faktycznie zastosowanym (w zależności od rodzaju operacji), określając jednocześnie (celem wyliczenia różnic kursowych) kolejność ich rozchodu (np. FIFO).</w:t>
      </w:r>
    </w:p>
    <w:p w:rsidR="000E16F5" w:rsidRDefault="000E16F5" w:rsidP="000E16F5">
      <w:pPr>
        <w:jc w:val="both"/>
      </w:pPr>
      <w:r>
        <w:t xml:space="preserve">Zastosowanie drugiej metody (metoda II) wyceny rozchodu środków z rachunku walutowego jest bardziej złożone i zastosowanie właściwego kursu jest zależne </w:t>
      </w:r>
      <w:r w:rsidR="00C70C0C">
        <w:t>od charakteru operacji. Wycena powinna nastąpić po kursie:</w:t>
      </w:r>
    </w:p>
    <w:p w:rsidR="00C70C0C" w:rsidRDefault="00187394" w:rsidP="00187394">
      <w:pPr>
        <w:pStyle w:val="Akapitzlist"/>
        <w:numPr>
          <w:ilvl w:val="0"/>
          <w:numId w:val="15"/>
        </w:numPr>
        <w:jc w:val="both"/>
      </w:pPr>
      <w:r>
        <w:t>faktycznie zastosowanym (kupna) – jeżeli jednostka sprzedaje środki pieniężne w walucie obcej, otrzymując pieniądze w walucie polskiej (tzw. przewalutowanie),</w:t>
      </w:r>
    </w:p>
    <w:p w:rsidR="00187394" w:rsidRDefault="00187394" w:rsidP="00187394">
      <w:pPr>
        <w:pStyle w:val="Akapitzlist"/>
        <w:numPr>
          <w:ilvl w:val="0"/>
          <w:numId w:val="15"/>
        </w:numPr>
        <w:jc w:val="both"/>
      </w:pPr>
      <w:r>
        <w:t>historycznym (tj. po jakim uprzednio nastąpił ich wpływ na ten rachunek) – jeżeli jednostka jest nadal dysponentem tych środków, np. w przypadku pobrania do kasy walutowej, przelewu na inny rachunek walutowy, założenia lokaty,</w:t>
      </w:r>
    </w:p>
    <w:p w:rsidR="00187394" w:rsidRDefault="00187394" w:rsidP="00187394">
      <w:pPr>
        <w:pStyle w:val="Akapitzlist"/>
        <w:numPr>
          <w:ilvl w:val="0"/>
          <w:numId w:val="15"/>
        </w:numPr>
        <w:jc w:val="both"/>
      </w:pPr>
      <w:r>
        <w:t>średnim NBP z dnia poprzedzającego wystąpienie zdarzenia gospodarczego – w pozostałych przypadkach, np. zapłaty zobowiązania, potrącenia przez bank prowizji i opłat za prowadzenie rachunku lub zrealizowane operacje bankowe.</w:t>
      </w:r>
    </w:p>
    <w:p w:rsidR="00652C0A" w:rsidRDefault="00652C0A" w:rsidP="00652C0A">
      <w:pPr>
        <w:jc w:val="both"/>
      </w:pPr>
      <w:r>
        <w:t>Wycena rozchodu środków z rachunku walutowego po innym kursie niż kurs zastosowany do wyceny wpływu środków na ten rachunek, skutkuje wystąpieniem różnic kursowych, i to nie tylko na kontach rozrachunkowych, lecz także na koncie Rachunek walutowy (metoda II). Różnice te ujmuje się                              w księgach odpowiednio: dodatnie – jako przychody finansowe, ujemne – jako koszty finansowe.</w:t>
      </w:r>
    </w:p>
    <w:p w:rsidR="00505EA5" w:rsidRDefault="00505EA5" w:rsidP="00652C0A">
      <w:pPr>
        <w:jc w:val="both"/>
      </w:pPr>
      <w:r>
        <w:t>Różnice kursowe w rachunku zysków i strat ujmuje się per saldo, tj. nadwyżkę dodatnich różnic kursowych nad ujemnymi ujmuje się w przychodach finansowych, a nadwyżkę ujemnych nad dodatnimi – w kosztach finansowych. Każda jednostka powinna w polityce rachunkowości określić przyjętą metodę wyceny rozchodu środków pieniężnych z rachunku walutowego, którą następnie należy stosować w sposób ciągły, zgodnie z zasadą ciągłości.</w:t>
      </w:r>
    </w:p>
    <w:p w:rsidR="00171B14" w:rsidRDefault="00171B14" w:rsidP="00652C0A">
      <w:pPr>
        <w:jc w:val="both"/>
      </w:pPr>
      <w:r>
        <w:t>W przepisach podatkowych procedury ustalania różnic kursowych są narzucone, a ich zakres – zawężony. Dla celów podatkowych (na podstawie przepisów ustawy o PDOP) wskazane jest stosowanie metody II.</w:t>
      </w:r>
    </w:p>
    <w:p w:rsidR="00171B14" w:rsidRDefault="00171B14" w:rsidP="00652C0A">
      <w:pPr>
        <w:jc w:val="both"/>
      </w:pPr>
      <w:r>
        <w:t>W przypadku obrotu środkami pieniężnymi w walutach obcych w ramach jednostki (tzw. obrót wewnętrzny), gdy jednostka jest nadal dysponentem tych środków, np. przesunięcie środków pomiędzy rachunkami bankowymi</w:t>
      </w:r>
      <w:r w:rsidR="00DA2E85">
        <w:t>, pobranie z banku do kasy i odwrotnie, wypłata pracownikom zaliczek</w:t>
      </w:r>
      <w:r w:rsidR="006D704F">
        <w:t>, nie występują różnice kursowe (dla celów księgowych i rozliczeń podatkowych). Oznacza to konieczność przeliczania tych operacji na równowartość w walucie polskiej przy zastosowaniu kursu historycznego.</w:t>
      </w:r>
    </w:p>
    <w:p w:rsidR="0022267C" w:rsidRDefault="0022267C" w:rsidP="0022267C">
      <w:pPr>
        <w:jc w:val="both"/>
      </w:pPr>
    </w:p>
    <w:p w:rsidR="00A9228D" w:rsidRDefault="00A9228D" w:rsidP="00826EDE">
      <w:pPr>
        <w:jc w:val="both"/>
      </w:pPr>
    </w:p>
    <w:sectPr w:rsidR="00A92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A315C"/>
    <w:multiLevelType w:val="multilevel"/>
    <w:tmpl w:val="ACDC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5578F"/>
    <w:multiLevelType w:val="hybridMultilevel"/>
    <w:tmpl w:val="AA040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537F9B"/>
    <w:multiLevelType w:val="hybridMultilevel"/>
    <w:tmpl w:val="722C94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838CB"/>
    <w:multiLevelType w:val="hybridMultilevel"/>
    <w:tmpl w:val="053A05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DA1404"/>
    <w:multiLevelType w:val="hybridMultilevel"/>
    <w:tmpl w:val="114CF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5931DC"/>
    <w:multiLevelType w:val="hybridMultilevel"/>
    <w:tmpl w:val="FE524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A33F56"/>
    <w:multiLevelType w:val="hybridMultilevel"/>
    <w:tmpl w:val="1A824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A01F24"/>
    <w:multiLevelType w:val="hybridMultilevel"/>
    <w:tmpl w:val="F33E1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5F7294"/>
    <w:multiLevelType w:val="hybridMultilevel"/>
    <w:tmpl w:val="CFE871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3F5832"/>
    <w:multiLevelType w:val="hybridMultilevel"/>
    <w:tmpl w:val="F33E1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AA0BC3"/>
    <w:multiLevelType w:val="hybridMultilevel"/>
    <w:tmpl w:val="C81ED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F83B12"/>
    <w:multiLevelType w:val="hybridMultilevel"/>
    <w:tmpl w:val="A754D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618D2"/>
    <w:multiLevelType w:val="hybridMultilevel"/>
    <w:tmpl w:val="D4125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8314163"/>
    <w:multiLevelType w:val="hybridMultilevel"/>
    <w:tmpl w:val="8B92F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A66719F"/>
    <w:multiLevelType w:val="hybridMultilevel"/>
    <w:tmpl w:val="4EDCB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5"/>
  </w:num>
  <w:num w:numId="5">
    <w:abstractNumId w:val="2"/>
  </w:num>
  <w:num w:numId="6">
    <w:abstractNumId w:val="13"/>
  </w:num>
  <w:num w:numId="7">
    <w:abstractNumId w:val="8"/>
  </w:num>
  <w:num w:numId="8">
    <w:abstractNumId w:val="6"/>
  </w:num>
  <w:num w:numId="9">
    <w:abstractNumId w:val="0"/>
  </w:num>
  <w:num w:numId="10">
    <w:abstractNumId w:val="9"/>
  </w:num>
  <w:num w:numId="11">
    <w:abstractNumId w:val="7"/>
  </w:num>
  <w:num w:numId="12">
    <w:abstractNumId w:val="4"/>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ED"/>
    <w:rsid w:val="00053C0A"/>
    <w:rsid w:val="000E16F5"/>
    <w:rsid w:val="0011641F"/>
    <w:rsid w:val="00142F2E"/>
    <w:rsid w:val="00171B14"/>
    <w:rsid w:val="00187394"/>
    <w:rsid w:val="00194633"/>
    <w:rsid w:val="001B32F3"/>
    <w:rsid w:val="00203F9A"/>
    <w:rsid w:val="002112D5"/>
    <w:rsid w:val="0022267C"/>
    <w:rsid w:val="002974B4"/>
    <w:rsid w:val="00303E6A"/>
    <w:rsid w:val="003448A2"/>
    <w:rsid w:val="0044283D"/>
    <w:rsid w:val="00492A30"/>
    <w:rsid w:val="004F1461"/>
    <w:rsid w:val="00505EA5"/>
    <w:rsid w:val="00513526"/>
    <w:rsid w:val="00570FC5"/>
    <w:rsid w:val="005900B9"/>
    <w:rsid w:val="005B1BB0"/>
    <w:rsid w:val="005B20C9"/>
    <w:rsid w:val="00652C0A"/>
    <w:rsid w:val="00664702"/>
    <w:rsid w:val="00667C10"/>
    <w:rsid w:val="0068580C"/>
    <w:rsid w:val="006D704F"/>
    <w:rsid w:val="007302EB"/>
    <w:rsid w:val="007418F1"/>
    <w:rsid w:val="00755900"/>
    <w:rsid w:val="00796B0F"/>
    <w:rsid w:val="007B448B"/>
    <w:rsid w:val="007D753E"/>
    <w:rsid w:val="00826EDE"/>
    <w:rsid w:val="008507B4"/>
    <w:rsid w:val="008A06E5"/>
    <w:rsid w:val="00A62B6C"/>
    <w:rsid w:val="00A9228D"/>
    <w:rsid w:val="00B1203F"/>
    <w:rsid w:val="00B431C5"/>
    <w:rsid w:val="00C07B4B"/>
    <w:rsid w:val="00C43782"/>
    <w:rsid w:val="00C70C0C"/>
    <w:rsid w:val="00C938FC"/>
    <w:rsid w:val="00D016E1"/>
    <w:rsid w:val="00D464AC"/>
    <w:rsid w:val="00D664EF"/>
    <w:rsid w:val="00DA2E85"/>
    <w:rsid w:val="00E62D27"/>
    <w:rsid w:val="00E63FCB"/>
    <w:rsid w:val="00E70921"/>
    <w:rsid w:val="00E969ED"/>
    <w:rsid w:val="00F52B1F"/>
    <w:rsid w:val="00FC06AA"/>
    <w:rsid w:val="00FC2AD2"/>
    <w:rsid w:val="00FE7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7212C-70B5-4377-BD53-CD5BF275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580C"/>
    <w:pPr>
      <w:ind w:left="720"/>
      <w:contextualSpacing/>
    </w:pPr>
  </w:style>
  <w:style w:type="character" w:styleId="Hipercze">
    <w:name w:val="Hyperlink"/>
    <w:basedOn w:val="Domylnaczcionkaakapitu"/>
    <w:uiPriority w:val="99"/>
    <w:semiHidden/>
    <w:unhideWhenUsed/>
    <w:rsid w:val="007D753E"/>
    <w:rPr>
      <w:color w:val="0000FF"/>
      <w:u w:val="single"/>
    </w:rPr>
  </w:style>
  <w:style w:type="paragraph" w:styleId="Tekstdymka">
    <w:name w:val="Balloon Text"/>
    <w:basedOn w:val="Normalny"/>
    <w:link w:val="TekstdymkaZnak"/>
    <w:uiPriority w:val="99"/>
    <w:semiHidden/>
    <w:unhideWhenUsed/>
    <w:rsid w:val="003448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48A2"/>
    <w:rPr>
      <w:rFonts w:ascii="Segoe UI" w:hAnsi="Segoe UI" w:cs="Segoe UI"/>
      <w:sz w:val="18"/>
      <w:szCs w:val="18"/>
    </w:rPr>
  </w:style>
  <w:style w:type="paragraph" w:styleId="NormalnyWeb">
    <w:name w:val="Normal (Web)"/>
    <w:basedOn w:val="Normalny"/>
    <w:uiPriority w:val="99"/>
    <w:unhideWhenUsed/>
    <w:rsid w:val="00B431C5"/>
    <w:pPr>
      <w:spacing w:after="150"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B431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03378">
      <w:bodyDiv w:val="1"/>
      <w:marLeft w:val="0"/>
      <w:marRight w:val="0"/>
      <w:marTop w:val="0"/>
      <w:marBottom w:val="0"/>
      <w:divBdr>
        <w:top w:val="none" w:sz="0" w:space="0" w:color="auto"/>
        <w:left w:val="none" w:sz="0" w:space="0" w:color="auto"/>
        <w:bottom w:val="none" w:sz="0" w:space="0" w:color="auto"/>
        <w:right w:val="none" w:sz="0" w:space="0" w:color="auto"/>
      </w:divBdr>
      <w:divsChild>
        <w:div w:id="1771926608">
          <w:marLeft w:val="0"/>
          <w:marRight w:val="0"/>
          <w:marTop w:val="0"/>
          <w:marBottom w:val="0"/>
          <w:divBdr>
            <w:top w:val="none" w:sz="0" w:space="0" w:color="auto"/>
            <w:left w:val="none" w:sz="0" w:space="0" w:color="auto"/>
            <w:bottom w:val="none" w:sz="0" w:space="0" w:color="auto"/>
            <w:right w:val="none" w:sz="0" w:space="0" w:color="auto"/>
          </w:divBdr>
          <w:divsChild>
            <w:div w:id="93210468">
              <w:marLeft w:val="0"/>
              <w:marRight w:val="0"/>
              <w:marTop w:val="0"/>
              <w:marBottom w:val="0"/>
              <w:divBdr>
                <w:top w:val="none" w:sz="0" w:space="0" w:color="auto"/>
                <w:left w:val="none" w:sz="0" w:space="0" w:color="auto"/>
                <w:bottom w:val="none" w:sz="0" w:space="0" w:color="auto"/>
                <w:right w:val="none" w:sz="0" w:space="0" w:color="auto"/>
              </w:divBdr>
              <w:divsChild>
                <w:div w:id="1584560070">
                  <w:marLeft w:val="0"/>
                  <w:marRight w:val="0"/>
                  <w:marTop w:val="0"/>
                  <w:marBottom w:val="0"/>
                  <w:divBdr>
                    <w:top w:val="none" w:sz="0" w:space="0" w:color="auto"/>
                    <w:left w:val="none" w:sz="0" w:space="0" w:color="auto"/>
                    <w:bottom w:val="none" w:sz="0" w:space="0" w:color="auto"/>
                    <w:right w:val="none" w:sz="0" w:space="0" w:color="auto"/>
                  </w:divBdr>
                  <w:divsChild>
                    <w:div w:id="713896202">
                      <w:marLeft w:val="0"/>
                      <w:marRight w:val="0"/>
                      <w:marTop w:val="0"/>
                      <w:marBottom w:val="0"/>
                      <w:divBdr>
                        <w:top w:val="none" w:sz="0" w:space="0" w:color="auto"/>
                        <w:left w:val="none" w:sz="0" w:space="0" w:color="auto"/>
                        <w:bottom w:val="none" w:sz="0" w:space="0" w:color="auto"/>
                        <w:right w:val="none" w:sz="0" w:space="0" w:color="auto"/>
                      </w:divBdr>
                      <w:divsChild>
                        <w:div w:id="806431251">
                          <w:marLeft w:val="0"/>
                          <w:marRight w:val="0"/>
                          <w:marTop w:val="0"/>
                          <w:marBottom w:val="0"/>
                          <w:divBdr>
                            <w:top w:val="none" w:sz="0" w:space="0" w:color="auto"/>
                            <w:left w:val="none" w:sz="0" w:space="0" w:color="auto"/>
                            <w:bottom w:val="none" w:sz="0" w:space="0" w:color="auto"/>
                            <w:right w:val="none" w:sz="0" w:space="0" w:color="auto"/>
                          </w:divBdr>
                          <w:divsChild>
                            <w:div w:id="289363525">
                              <w:marLeft w:val="0"/>
                              <w:marRight w:val="0"/>
                              <w:marTop w:val="0"/>
                              <w:marBottom w:val="0"/>
                              <w:divBdr>
                                <w:top w:val="none" w:sz="0" w:space="0" w:color="auto"/>
                                <w:left w:val="none" w:sz="0" w:space="0" w:color="auto"/>
                                <w:bottom w:val="none" w:sz="0" w:space="0" w:color="auto"/>
                                <w:right w:val="none" w:sz="0" w:space="0" w:color="auto"/>
                              </w:divBdr>
                              <w:divsChild>
                                <w:div w:id="841166668">
                                  <w:marLeft w:val="0"/>
                                  <w:marRight w:val="0"/>
                                  <w:marTop w:val="0"/>
                                  <w:marBottom w:val="0"/>
                                  <w:divBdr>
                                    <w:top w:val="none" w:sz="0" w:space="0" w:color="auto"/>
                                    <w:left w:val="none" w:sz="0" w:space="0" w:color="auto"/>
                                    <w:bottom w:val="none" w:sz="0" w:space="0" w:color="auto"/>
                                    <w:right w:val="none" w:sz="0" w:space="0" w:color="auto"/>
                                  </w:divBdr>
                                  <w:divsChild>
                                    <w:div w:id="1366951781">
                                      <w:marLeft w:val="0"/>
                                      <w:marRight w:val="0"/>
                                      <w:marTop w:val="0"/>
                                      <w:marBottom w:val="450"/>
                                      <w:divBdr>
                                        <w:top w:val="none" w:sz="0" w:space="0" w:color="auto"/>
                                        <w:left w:val="none" w:sz="0" w:space="0" w:color="auto"/>
                                        <w:bottom w:val="none" w:sz="0" w:space="0" w:color="auto"/>
                                        <w:right w:val="none" w:sz="0" w:space="0" w:color="auto"/>
                                      </w:divBdr>
                                      <w:divsChild>
                                        <w:div w:id="451172594">
                                          <w:marLeft w:val="0"/>
                                          <w:marRight w:val="0"/>
                                          <w:marTop w:val="300"/>
                                          <w:marBottom w:val="0"/>
                                          <w:divBdr>
                                            <w:top w:val="none" w:sz="0" w:space="0" w:color="auto"/>
                                            <w:left w:val="none" w:sz="0" w:space="0" w:color="auto"/>
                                            <w:bottom w:val="none" w:sz="0" w:space="0" w:color="auto"/>
                                            <w:right w:val="none" w:sz="0" w:space="0" w:color="auto"/>
                                          </w:divBdr>
                                          <w:divsChild>
                                            <w:div w:id="1825311599">
                                              <w:marLeft w:val="450"/>
                                              <w:marRight w:val="450"/>
                                              <w:marTop w:val="0"/>
                                              <w:marBottom w:val="0"/>
                                              <w:divBdr>
                                                <w:top w:val="none" w:sz="0" w:space="0" w:color="auto"/>
                                                <w:left w:val="none" w:sz="0" w:space="0" w:color="auto"/>
                                                <w:bottom w:val="none" w:sz="0" w:space="0" w:color="auto"/>
                                                <w:right w:val="none" w:sz="0" w:space="0" w:color="auto"/>
                                              </w:divBdr>
                                              <w:divsChild>
                                                <w:div w:id="19155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maty.forsal.pl/tematy/w/weksel" TargetMode="External"/><Relationship Id="rId3" Type="http://schemas.openxmlformats.org/officeDocument/2006/relationships/settings" Target="settings.xml"/><Relationship Id="rId7" Type="http://schemas.openxmlformats.org/officeDocument/2006/relationships/hyperlink" Target="https://pl.wikipedia.org/wiki/Eks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Import" TargetMode="External"/><Relationship Id="rId11" Type="http://schemas.openxmlformats.org/officeDocument/2006/relationships/fontTable" Target="fontTable.xml"/><Relationship Id="rId5" Type="http://schemas.openxmlformats.org/officeDocument/2006/relationships/hyperlink" Target="https://pl.wikipedia.org/wiki/Bank" TargetMode="External"/><Relationship Id="rId10" Type="http://schemas.openxmlformats.org/officeDocument/2006/relationships/hyperlink" Target="http://www.infor.pl/kalkulatory/kredyty.html" TargetMode="External"/><Relationship Id="rId4" Type="http://schemas.openxmlformats.org/officeDocument/2006/relationships/webSettings" Target="webSettings.xml"/><Relationship Id="rId9" Type="http://schemas.openxmlformats.org/officeDocument/2006/relationships/hyperlink" Target="http://tematy.forsal.pl/tematy/d/dyskon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2079</Words>
  <Characters>12475</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Nak</dc:creator>
  <cp:keywords/>
  <dc:description/>
  <cp:lastModifiedBy>Joanna Nakonieczny</cp:lastModifiedBy>
  <cp:revision>2</cp:revision>
  <cp:lastPrinted>2016-11-01T12:11:00Z</cp:lastPrinted>
  <dcterms:created xsi:type="dcterms:W3CDTF">2019-09-20T06:42:00Z</dcterms:created>
  <dcterms:modified xsi:type="dcterms:W3CDTF">2019-09-20T06:42:00Z</dcterms:modified>
</cp:coreProperties>
</file>